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7B" w:rsidRPr="00D33BB3" w:rsidRDefault="004F6FD0">
      <w:pPr>
        <w:rPr>
          <w:rFonts w:ascii="Times New Roman" w:hAnsi="Times New Roman" w:cs="Times New Roman"/>
          <w:b/>
          <w:sz w:val="28"/>
          <w:szCs w:val="24"/>
        </w:rPr>
      </w:pPr>
      <w:r w:rsidRPr="00D33BB3">
        <w:rPr>
          <w:rFonts w:ascii="Times New Roman" w:hAnsi="Times New Roman" w:cs="Times New Roman"/>
          <w:b/>
          <w:sz w:val="28"/>
          <w:szCs w:val="24"/>
        </w:rPr>
        <w:t xml:space="preserve">Who pays the price? Prevalence of bacterial resistance, leads to MDR bacterial sepsis as the single commonest contributor to mortality among </w:t>
      </w:r>
      <w:proofErr w:type="spellStart"/>
      <w:r w:rsidRPr="00D33BB3">
        <w:rPr>
          <w:rFonts w:ascii="Times New Roman" w:hAnsi="Times New Roman" w:cs="Times New Roman"/>
          <w:b/>
          <w:sz w:val="28"/>
          <w:szCs w:val="24"/>
        </w:rPr>
        <w:t>immunosuppressed</w:t>
      </w:r>
      <w:proofErr w:type="spellEnd"/>
      <w:r w:rsidRPr="00D33BB3">
        <w:rPr>
          <w:rFonts w:ascii="Times New Roman" w:hAnsi="Times New Roman" w:cs="Times New Roman"/>
          <w:b/>
          <w:sz w:val="28"/>
          <w:szCs w:val="24"/>
        </w:rPr>
        <w:t xml:space="preserve"> transplant recipients in the Indian sub-continent. </w:t>
      </w:r>
      <w:proofErr w:type="gramStart"/>
      <w:r w:rsidRPr="00D33BB3">
        <w:rPr>
          <w:rFonts w:ascii="Times New Roman" w:hAnsi="Times New Roman" w:cs="Times New Roman"/>
          <w:b/>
          <w:sz w:val="28"/>
          <w:szCs w:val="24"/>
        </w:rPr>
        <w:t>A single centre study.</w:t>
      </w:r>
      <w:proofErr w:type="gramEnd"/>
    </w:p>
    <w:p w:rsidR="00D33BB3" w:rsidRPr="00D33BB3" w:rsidRDefault="00D33BB3" w:rsidP="00D33BB3">
      <w:pPr>
        <w:rPr>
          <w:rFonts w:ascii="Times New Roman" w:hAnsi="Times New Roman" w:cs="Times New Roman"/>
          <w:sz w:val="24"/>
          <w:szCs w:val="24"/>
        </w:rPr>
      </w:pPr>
      <w:r w:rsidRPr="00D33BB3">
        <w:rPr>
          <w:rFonts w:ascii="Times New Roman" w:hAnsi="Times New Roman" w:cs="Times New Roman"/>
          <w:bCs/>
          <w:sz w:val="24"/>
          <w:szCs w:val="24"/>
          <w:lang w:val="en-GB"/>
        </w:rPr>
        <w:t>P. T. Cherian</w:t>
      </w:r>
      <w:r w:rsidRPr="00D33BB3">
        <w:rPr>
          <w:rFonts w:ascii="Times New Roman" w:hAnsi="Times New Roman" w:cs="Times New Roman"/>
          <w:bCs/>
          <w:sz w:val="24"/>
          <w:szCs w:val="24"/>
          <w:vertAlign w:val="superscript"/>
          <w:lang w:val="en-GB"/>
        </w:rPr>
        <w:t>1</w:t>
      </w:r>
      <w:r w:rsidRPr="00D33BB3">
        <w:rPr>
          <w:rFonts w:ascii="Times New Roman" w:hAnsi="Times New Roman" w:cs="Times New Roman"/>
          <w:bCs/>
          <w:sz w:val="24"/>
          <w:szCs w:val="24"/>
          <w:lang w:val="en-GB"/>
        </w:rPr>
        <w:t>, R. A. Narkhede</w:t>
      </w:r>
      <w:r w:rsidRPr="00D33BB3">
        <w:rPr>
          <w:rFonts w:ascii="Times New Roman" w:hAnsi="Times New Roman" w:cs="Times New Roman"/>
          <w:bCs/>
          <w:sz w:val="24"/>
          <w:szCs w:val="24"/>
          <w:vertAlign w:val="superscript"/>
          <w:lang w:val="en-GB"/>
        </w:rPr>
        <w:t>1</w:t>
      </w:r>
      <w:r w:rsidRPr="00D33BB3">
        <w:rPr>
          <w:rFonts w:ascii="Times New Roman" w:hAnsi="Times New Roman" w:cs="Times New Roman"/>
          <w:bCs/>
          <w:sz w:val="24"/>
          <w:szCs w:val="24"/>
          <w:lang w:val="en-GB"/>
        </w:rPr>
        <w:t>, F. S. Mahmood</w:t>
      </w:r>
      <w:r w:rsidRPr="00D33BB3">
        <w:rPr>
          <w:rFonts w:ascii="Times New Roman" w:hAnsi="Times New Roman" w:cs="Times New Roman"/>
          <w:bCs/>
          <w:sz w:val="24"/>
          <w:szCs w:val="24"/>
          <w:vertAlign w:val="superscript"/>
          <w:lang w:val="en-GB"/>
        </w:rPr>
        <w:t>1</w:t>
      </w:r>
      <w:r w:rsidRPr="00D33BB3">
        <w:rPr>
          <w:rFonts w:ascii="Times New Roman" w:hAnsi="Times New Roman" w:cs="Times New Roman"/>
          <w:bCs/>
          <w:sz w:val="24"/>
          <w:szCs w:val="24"/>
          <w:lang w:val="en-GB"/>
        </w:rPr>
        <w:t>, R. N. Iyer</w:t>
      </w:r>
      <w:r w:rsidRPr="00D33BB3">
        <w:rPr>
          <w:rFonts w:ascii="Times New Roman" w:hAnsi="Times New Roman" w:cs="Times New Roman"/>
          <w:bCs/>
          <w:sz w:val="24"/>
          <w:szCs w:val="24"/>
          <w:vertAlign w:val="superscript"/>
          <w:lang w:val="en-GB"/>
        </w:rPr>
        <w:t>2</w:t>
      </w:r>
      <w:r w:rsidRPr="00D33BB3">
        <w:rPr>
          <w:rFonts w:ascii="Times New Roman" w:hAnsi="Times New Roman" w:cs="Times New Roman"/>
          <w:bCs/>
          <w:sz w:val="24"/>
          <w:szCs w:val="24"/>
          <w:lang w:val="en-GB"/>
        </w:rPr>
        <w:t>, M. Sathyanarayanan</w:t>
      </w:r>
      <w:r w:rsidRPr="00D33BB3">
        <w:rPr>
          <w:rFonts w:ascii="Times New Roman" w:hAnsi="Times New Roman" w:cs="Times New Roman"/>
          <w:bCs/>
          <w:sz w:val="24"/>
          <w:szCs w:val="24"/>
          <w:vertAlign w:val="superscript"/>
          <w:lang w:val="en-GB"/>
        </w:rPr>
        <w:t>3</w:t>
      </w:r>
      <w:r w:rsidRPr="00D33BB3">
        <w:rPr>
          <w:rFonts w:ascii="Times New Roman" w:hAnsi="Times New Roman" w:cs="Times New Roman"/>
          <w:bCs/>
          <w:sz w:val="24"/>
          <w:szCs w:val="24"/>
          <w:lang w:val="en-GB"/>
        </w:rPr>
        <w:t>, R. Raya</w:t>
      </w:r>
      <w:r w:rsidRPr="00D33BB3">
        <w:rPr>
          <w:rFonts w:ascii="Times New Roman" w:hAnsi="Times New Roman" w:cs="Times New Roman"/>
          <w:bCs/>
          <w:sz w:val="24"/>
          <w:szCs w:val="24"/>
          <w:vertAlign w:val="superscript"/>
          <w:lang w:val="en-GB"/>
        </w:rPr>
        <w:t>3</w:t>
      </w:r>
      <w:r w:rsidRPr="00D33BB3">
        <w:rPr>
          <w:rFonts w:ascii="Times New Roman" w:hAnsi="Times New Roman" w:cs="Times New Roman"/>
          <w:bCs/>
          <w:sz w:val="24"/>
          <w:szCs w:val="24"/>
          <w:lang w:val="en-GB"/>
        </w:rPr>
        <w:t>, M. Rela</w:t>
      </w:r>
      <w:r w:rsidRPr="00D33BB3">
        <w:rPr>
          <w:rFonts w:ascii="Times New Roman" w:hAnsi="Times New Roman" w:cs="Times New Roman"/>
          <w:bCs/>
          <w:sz w:val="24"/>
          <w:szCs w:val="24"/>
          <w:vertAlign w:val="superscript"/>
          <w:lang w:val="en-GB"/>
        </w:rPr>
        <w:t>1</w:t>
      </w:r>
      <w:r w:rsidRPr="00D33BB3">
        <w:rPr>
          <w:rFonts w:ascii="Times New Roman" w:hAnsi="Times New Roman" w:cs="Times New Roman"/>
          <w:bCs/>
          <w:sz w:val="24"/>
          <w:szCs w:val="24"/>
          <w:lang w:val="en-GB"/>
        </w:rPr>
        <w:t xml:space="preserve"> </w:t>
      </w:r>
    </w:p>
    <w:p w:rsidR="00D33BB3" w:rsidRDefault="00D33BB3" w:rsidP="00D33BB3">
      <w:pPr>
        <w:rPr>
          <w:rFonts w:ascii="Times New Roman" w:hAnsi="Times New Roman" w:cs="Times New Roman"/>
          <w:sz w:val="24"/>
          <w:szCs w:val="24"/>
        </w:rPr>
      </w:pPr>
      <w:r w:rsidRPr="00D33BB3">
        <w:rPr>
          <w:rFonts w:ascii="Times New Roman" w:hAnsi="Times New Roman" w:cs="Times New Roman"/>
          <w:sz w:val="24"/>
          <w:szCs w:val="24"/>
        </w:rPr>
        <w:t xml:space="preserve"> </w:t>
      </w:r>
      <w:r w:rsidRPr="00D33BB3">
        <w:rPr>
          <w:rFonts w:ascii="Times New Roman" w:hAnsi="Times New Roman" w:cs="Times New Roman"/>
          <w:sz w:val="24"/>
          <w:szCs w:val="24"/>
          <w:vertAlign w:val="superscript"/>
        </w:rPr>
        <w:t>1</w:t>
      </w:r>
      <w:r w:rsidRPr="00D33BB3">
        <w:rPr>
          <w:rFonts w:ascii="Times New Roman" w:hAnsi="Times New Roman" w:cs="Times New Roman"/>
          <w:sz w:val="24"/>
          <w:szCs w:val="24"/>
        </w:rPr>
        <w:t xml:space="preserve">Department of HPB Surgery and Liver Transplantation, </w:t>
      </w:r>
    </w:p>
    <w:p w:rsidR="00D33BB3" w:rsidRDefault="00D33BB3" w:rsidP="00D33BB3">
      <w:pPr>
        <w:rPr>
          <w:rFonts w:ascii="Times New Roman" w:hAnsi="Times New Roman" w:cs="Times New Roman"/>
          <w:sz w:val="24"/>
          <w:szCs w:val="24"/>
        </w:rPr>
      </w:pPr>
      <w:r w:rsidRPr="00D33BB3">
        <w:rPr>
          <w:rFonts w:ascii="Times New Roman" w:hAnsi="Times New Roman" w:cs="Times New Roman"/>
          <w:b/>
          <w:bCs/>
          <w:sz w:val="24"/>
          <w:szCs w:val="24"/>
          <w:vertAlign w:val="superscript"/>
          <w:lang w:val="en-GB"/>
        </w:rPr>
        <w:t>2</w:t>
      </w:r>
      <w:r w:rsidRPr="00D33BB3">
        <w:rPr>
          <w:rFonts w:ascii="Times New Roman" w:hAnsi="Times New Roman" w:cs="Times New Roman"/>
          <w:sz w:val="24"/>
          <w:szCs w:val="24"/>
        </w:rPr>
        <w:t xml:space="preserve">Department of Microbiology and Immunology, </w:t>
      </w:r>
    </w:p>
    <w:p w:rsidR="00D33BB3" w:rsidRPr="00D33BB3" w:rsidRDefault="00D33BB3" w:rsidP="00D33BB3">
      <w:pPr>
        <w:rPr>
          <w:rFonts w:ascii="Times New Roman" w:hAnsi="Times New Roman" w:cs="Times New Roman"/>
          <w:sz w:val="24"/>
          <w:szCs w:val="24"/>
        </w:rPr>
      </w:pPr>
      <w:r w:rsidRPr="00D33BB3">
        <w:rPr>
          <w:rFonts w:ascii="Times New Roman" w:hAnsi="Times New Roman" w:cs="Times New Roman"/>
          <w:b/>
          <w:bCs/>
          <w:sz w:val="24"/>
          <w:szCs w:val="24"/>
          <w:vertAlign w:val="superscript"/>
          <w:lang w:val="en-GB"/>
        </w:rPr>
        <w:t>3</w:t>
      </w:r>
      <w:r w:rsidRPr="00D33BB3">
        <w:rPr>
          <w:rFonts w:ascii="Times New Roman" w:hAnsi="Times New Roman" w:cs="Times New Roman"/>
          <w:sz w:val="24"/>
          <w:szCs w:val="24"/>
        </w:rPr>
        <w:t>Department of Anaesthesiology, Global Hospitals, Hyderabad, India</w:t>
      </w:r>
      <w:r w:rsidRPr="00D33BB3">
        <w:rPr>
          <w:rFonts w:ascii="Times New Roman" w:hAnsi="Times New Roman" w:cs="Times New Roman"/>
          <w:sz w:val="24"/>
          <w:szCs w:val="24"/>
          <w:lang w:val="en-GB"/>
        </w:rPr>
        <w:t xml:space="preserve"> </w:t>
      </w:r>
    </w:p>
    <w:p w:rsidR="00D33BB3" w:rsidRDefault="00D33BB3">
      <w:pPr>
        <w:rPr>
          <w:rFonts w:ascii="Times New Roman" w:hAnsi="Times New Roman" w:cs="Times New Roman"/>
          <w:sz w:val="24"/>
          <w:szCs w:val="24"/>
        </w:rPr>
      </w:pPr>
    </w:p>
    <w:p w:rsidR="002C53DF" w:rsidRPr="00D33BB3" w:rsidRDefault="002C53DF" w:rsidP="002C53DF">
      <w:pPr>
        <w:rPr>
          <w:rFonts w:ascii="Times New Roman" w:hAnsi="Times New Roman" w:cs="Times New Roman"/>
          <w:b/>
          <w:sz w:val="24"/>
          <w:szCs w:val="24"/>
        </w:rPr>
      </w:pPr>
      <w:r w:rsidRPr="00D33BB3">
        <w:rPr>
          <w:rFonts w:ascii="Times New Roman" w:hAnsi="Times New Roman" w:cs="Times New Roman"/>
          <w:b/>
          <w:sz w:val="24"/>
          <w:szCs w:val="24"/>
        </w:rPr>
        <w:t>Introduction:</w:t>
      </w:r>
    </w:p>
    <w:p w:rsidR="002C53DF" w:rsidRDefault="002C53DF" w:rsidP="002C53DF">
      <w:pPr>
        <w:rPr>
          <w:rFonts w:ascii="Times New Roman" w:hAnsi="Times New Roman" w:cs="Times New Roman"/>
          <w:sz w:val="24"/>
          <w:szCs w:val="24"/>
        </w:rPr>
      </w:pPr>
      <w:r>
        <w:rPr>
          <w:rFonts w:ascii="Times New Roman" w:hAnsi="Times New Roman" w:cs="Times New Roman"/>
          <w:sz w:val="24"/>
          <w:szCs w:val="24"/>
        </w:rPr>
        <w:tab/>
        <w:t>The causes of mortality after liver transplantation differ in west compared to South East Asian population where infective complications play a major role in short term mortality. The practice of indiscriminate antibiotic use by the medical practitioners as well as poor regulation of over the counter drug sales is thought to contribute to a</w:t>
      </w:r>
      <w:r w:rsidR="00D33BB3">
        <w:rPr>
          <w:rFonts w:ascii="Times New Roman" w:hAnsi="Times New Roman" w:cs="Times New Roman"/>
          <w:sz w:val="24"/>
          <w:szCs w:val="24"/>
        </w:rPr>
        <w:t>n</w:t>
      </w:r>
      <w:r>
        <w:rPr>
          <w:rFonts w:ascii="Times New Roman" w:hAnsi="Times New Roman" w:cs="Times New Roman"/>
          <w:sz w:val="24"/>
          <w:szCs w:val="24"/>
        </w:rPr>
        <w:t xml:space="preserve"> unacceptably high prevalence of bacterial resistance patterns in south </w:t>
      </w:r>
      <w:r w:rsidR="00D33BB3">
        <w:rPr>
          <w:rFonts w:ascii="Times New Roman" w:hAnsi="Times New Roman" w:cs="Times New Roman"/>
          <w:sz w:val="24"/>
          <w:szCs w:val="24"/>
        </w:rPr>
        <w:t>East</w:t>
      </w:r>
      <w:r>
        <w:rPr>
          <w:rFonts w:ascii="Times New Roman" w:hAnsi="Times New Roman" w:cs="Times New Roman"/>
          <w:sz w:val="24"/>
          <w:szCs w:val="24"/>
        </w:rPr>
        <w:t xml:space="preserve"> </w:t>
      </w:r>
      <w:r w:rsidR="00D33BB3">
        <w:rPr>
          <w:rFonts w:ascii="Times New Roman" w:hAnsi="Times New Roman" w:cs="Times New Roman"/>
          <w:sz w:val="24"/>
          <w:szCs w:val="24"/>
        </w:rPr>
        <w:t>A</w:t>
      </w:r>
      <w:r>
        <w:rPr>
          <w:rFonts w:ascii="Times New Roman" w:hAnsi="Times New Roman" w:cs="Times New Roman"/>
          <w:sz w:val="24"/>
          <w:szCs w:val="24"/>
        </w:rPr>
        <w:t xml:space="preserve">sia. To gain understanding of current trends we studied the recipient mortality in a mature transplant unit. </w:t>
      </w:r>
    </w:p>
    <w:p w:rsidR="00F31448" w:rsidRDefault="002C53DF" w:rsidP="002C53DF">
      <w:pPr>
        <w:rPr>
          <w:rFonts w:ascii="Times New Roman" w:hAnsi="Times New Roman" w:cs="Times New Roman"/>
          <w:sz w:val="24"/>
          <w:szCs w:val="24"/>
        </w:rPr>
      </w:pPr>
      <w:r w:rsidRPr="00F31448">
        <w:rPr>
          <w:rFonts w:ascii="Times New Roman" w:hAnsi="Times New Roman" w:cs="Times New Roman"/>
          <w:b/>
          <w:sz w:val="24"/>
          <w:szCs w:val="24"/>
        </w:rPr>
        <w:t xml:space="preserve">Objective: </w:t>
      </w:r>
    </w:p>
    <w:p w:rsidR="002C53DF" w:rsidRDefault="00F31448" w:rsidP="002C53D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53DF">
        <w:rPr>
          <w:rFonts w:ascii="Times New Roman" w:hAnsi="Times New Roman" w:cs="Times New Roman"/>
          <w:sz w:val="24"/>
          <w:szCs w:val="24"/>
        </w:rPr>
        <w:t xml:space="preserve">We tried to find the association between mortality and infective complications, their microbiological details including antibiotic resistance and pre-operative patient factors. </w:t>
      </w:r>
    </w:p>
    <w:p w:rsidR="002C53DF" w:rsidRDefault="002C53DF">
      <w:pPr>
        <w:rPr>
          <w:rFonts w:ascii="Times New Roman" w:hAnsi="Times New Roman" w:cs="Times New Roman"/>
          <w:sz w:val="24"/>
          <w:szCs w:val="24"/>
        </w:rPr>
      </w:pPr>
    </w:p>
    <w:p w:rsidR="00AA72F7" w:rsidRPr="00D33BB3" w:rsidRDefault="002C53DF" w:rsidP="002C53DF">
      <w:pPr>
        <w:rPr>
          <w:rFonts w:ascii="Times New Roman" w:hAnsi="Times New Roman" w:cs="Times New Roman"/>
          <w:b/>
          <w:sz w:val="24"/>
          <w:szCs w:val="24"/>
        </w:rPr>
      </w:pPr>
      <w:r w:rsidRPr="00D33BB3">
        <w:rPr>
          <w:rFonts w:ascii="Times New Roman" w:hAnsi="Times New Roman" w:cs="Times New Roman"/>
          <w:b/>
          <w:sz w:val="24"/>
          <w:szCs w:val="24"/>
        </w:rPr>
        <w:t xml:space="preserve">Methods: </w:t>
      </w:r>
    </w:p>
    <w:p w:rsidR="002C53DF" w:rsidRDefault="00AA72F7" w:rsidP="002C53DF">
      <w:pPr>
        <w:rPr>
          <w:rFonts w:ascii="Times New Roman" w:hAnsi="Times New Roman" w:cs="Times New Roman"/>
          <w:sz w:val="24"/>
          <w:szCs w:val="24"/>
        </w:rPr>
      </w:pPr>
      <w:r>
        <w:rPr>
          <w:rFonts w:ascii="Times New Roman" w:hAnsi="Times New Roman" w:cs="Times New Roman"/>
          <w:sz w:val="24"/>
          <w:szCs w:val="24"/>
        </w:rPr>
        <w:tab/>
      </w:r>
      <w:r w:rsidR="002C53DF">
        <w:rPr>
          <w:rFonts w:ascii="Times New Roman" w:hAnsi="Times New Roman" w:cs="Times New Roman"/>
          <w:sz w:val="24"/>
          <w:szCs w:val="24"/>
        </w:rPr>
        <w:t>Sixteen of 124 transplant recipients operated over a 24 month period (Jan 2013 to Dec 2014), who had early (in-hospital) mortality, were analysed retrospectively</w:t>
      </w:r>
      <w:r>
        <w:rPr>
          <w:rFonts w:ascii="Times New Roman" w:hAnsi="Times New Roman" w:cs="Times New Roman"/>
          <w:sz w:val="24"/>
          <w:szCs w:val="24"/>
        </w:rPr>
        <w:t xml:space="preserve">. </w:t>
      </w:r>
      <w:r w:rsidR="002C53DF">
        <w:rPr>
          <w:rFonts w:ascii="Times New Roman" w:hAnsi="Times New Roman" w:cs="Times New Roman"/>
          <w:sz w:val="24"/>
          <w:szCs w:val="24"/>
        </w:rPr>
        <w:t xml:space="preserve">This included children and acute liver failure patients. </w:t>
      </w:r>
      <w:r w:rsidRPr="002C53DF">
        <w:rPr>
          <w:rFonts w:ascii="Times New Roman" w:hAnsi="Times New Roman" w:cs="Times New Roman"/>
          <w:sz w:val="24"/>
          <w:szCs w:val="24"/>
        </w:rPr>
        <w:t>The demographic details, diagnosis, indicati</w:t>
      </w:r>
      <w:r>
        <w:rPr>
          <w:rFonts w:ascii="Times New Roman" w:hAnsi="Times New Roman" w:cs="Times New Roman"/>
          <w:sz w:val="24"/>
          <w:szCs w:val="24"/>
        </w:rPr>
        <w:t xml:space="preserve">ons for transplant, </w:t>
      </w:r>
      <w:r w:rsidRPr="002C53DF">
        <w:rPr>
          <w:rFonts w:ascii="Times New Roman" w:hAnsi="Times New Roman" w:cs="Times New Roman"/>
          <w:sz w:val="24"/>
          <w:szCs w:val="24"/>
        </w:rPr>
        <w:t>were retrospectively collected from pre-transplant ‘work up’ database while intra</w:t>
      </w:r>
      <w:r>
        <w:rPr>
          <w:rFonts w:ascii="Times New Roman" w:hAnsi="Times New Roman" w:cs="Times New Roman"/>
          <w:sz w:val="24"/>
          <w:szCs w:val="24"/>
        </w:rPr>
        <w:t>-</w:t>
      </w:r>
      <w:r w:rsidRPr="002C53DF">
        <w:rPr>
          <w:rFonts w:ascii="Times New Roman" w:hAnsi="Times New Roman" w:cs="Times New Roman"/>
          <w:sz w:val="24"/>
          <w:szCs w:val="24"/>
        </w:rPr>
        <w:t>operative details, post operative complications were collected from the inpatient hospital case records.</w:t>
      </w:r>
      <w:r>
        <w:rPr>
          <w:rFonts w:ascii="Times New Roman" w:hAnsi="Times New Roman" w:cs="Times New Roman"/>
          <w:sz w:val="24"/>
          <w:szCs w:val="24"/>
        </w:rPr>
        <w:t xml:space="preserve"> </w:t>
      </w:r>
      <w:r w:rsidRPr="002C53DF">
        <w:rPr>
          <w:rFonts w:ascii="Times New Roman" w:hAnsi="Times New Roman" w:cs="Times New Roman"/>
          <w:sz w:val="24"/>
          <w:szCs w:val="24"/>
        </w:rPr>
        <w:t xml:space="preserve">The detailed data regarding </w:t>
      </w:r>
      <w:r>
        <w:rPr>
          <w:rFonts w:ascii="Times New Roman" w:hAnsi="Times New Roman" w:cs="Times New Roman"/>
          <w:sz w:val="24"/>
          <w:szCs w:val="24"/>
        </w:rPr>
        <w:t>microbiological profile</w:t>
      </w:r>
      <w:r w:rsidRPr="002C53DF">
        <w:rPr>
          <w:rFonts w:ascii="Times New Roman" w:hAnsi="Times New Roman" w:cs="Times New Roman"/>
          <w:sz w:val="24"/>
          <w:szCs w:val="24"/>
        </w:rPr>
        <w:t xml:space="preserve"> was gathered from computerised records of microbiological cultu</w:t>
      </w:r>
      <w:r>
        <w:rPr>
          <w:rFonts w:ascii="Times New Roman" w:hAnsi="Times New Roman" w:cs="Times New Roman"/>
          <w:sz w:val="24"/>
          <w:szCs w:val="24"/>
        </w:rPr>
        <w:t xml:space="preserve">res and antibiotic sensitivity. </w:t>
      </w:r>
      <w:r w:rsidR="002C53DF">
        <w:rPr>
          <w:rFonts w:ascii="Times New Roman" w:hAnsi="Times New Roman" w:cs="Times New Roman"/>
          <w:sz w:val="24"/>
          <w:szCs w:val="24"/>
        </w:rPr>
        <w:t>The infective morbidity was analysed for the microbiological pattern of complications and antibiotic sensitivity.</w:t>
      </w:r>
    </w:p>
    <w:p w:rsidR="002C53DF" w:rsidRPr="00F31448" w:rsidRDefault="00661879">
      <w:pPr>
        <w:rPr>
          <w:rFonts w:ascii="Times New Roman" w:hAnsi="Times New Roman" w:cs="Times New Roman"/>
          <w:b/>
          <w:sz w:val="24"/>
          <w:szCs w:val="24"/>
        </w:rPr>
      </w:pPr>
      <w:r w:rsidRPr="00F31448">
        <w:rPr>
          <w:rFonts w:ascii="Times New Roman" w:hAnsi="Times New Roman" w:cs="Times New Roman"/>
          <w:b/>
          <w:sz w:val="24"/>
          <w:szCs w:val="24"/>
        </w:rPr>
        <w:t>Results:</w:t>
      </w:r>
    </w:p>
    <w:p w:rsidR="00661879" w:rsidRDefault="00661879">
      <w:pPr>
        <w:rPr>
          <w:rFonts w:ascii="Times New Roman" w:hAnsi="Times New Roman" w:cs="Times New Roman"/>
          <w:sz w:val="24"/>
          <w:szCs w:val="24"/>
        </w:rPr>
      </w:pPr>
      <w:r>
        <w:rPr>
          <w:rFonts w:ascii="Times New Roman" w:hAnsi="Times New Roman" w:cs="Times New Roman"/>
          <w:sz w:val="24"/>
          <w:szCs w:val="24"/>
        </w:rPr>
        <w:lastRenderedPageBreak/>
        <w:tab/>
      </w:r>
      <w:r w:rsidRPr="00661879">
        <w:rPr>
          <w:rFonts w:ascii="Times New Roman" w:hAnsi="Times New Roman" w:cs="Times New Roman"/>
          <w:sz w:val="24"/>
          <w:szCs w:val="24"/>
        </w:rPr>
        <w:t>Sixteen of the 124 patients operated for liver transplantation who had early mortality were retrospectively reviewed. The mean age at transplant was 51 years (range 6 months to 68 years) and the mean BMI was 27.8, (range 14.2 to 33.7). 14 patients underwent LDLT while 2 underwent DDLT. One patient underwent LT for acute liver failure. Except 1 child, all were adults. The mean graft weight to recipient weight ratio was 1.22 while the range was 0.71 to 4.6.</w:t>
      </w:r>
    </w:p>
    <w:p w:rsidR="00071115" w:rsidRDefault="00071115">
      <w:pPr>
        <w:rPr>
          <w:rFonts w:ascii="Times New Roman" w:hAnsi="Times New Roman" w:cs="Times New Roman"/>
          <w:sz w:val="24"/>
          <w:szCs w:val="24"/>
        </w:rPr>
      </w:pPr>
      <w:r w:rsidRPr="00071115">
        <w:rPr>
          <w:rFonts w:ascii="Times New Roman" w:hAnsi="Times New Roman" w:cs="Times New Roman"/>
          <w:sz w:val="24"/>
          <w:szCs w:val="24"/>
        </w:rPr>
        <w:drawing>
          <wp:inline distT="0" distB="0" distL="0" distR="0">
            <wp:extent cx="3362325" cy="347281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D92296" w:rsidRDefault="008C41A3" w:rsidP="00D92296">
      <w:pPr>
        <w:rPr>
          <w:rFonts w:ascii="Times New Roman" w:hAnsi="Times New Roman" w:cs="Times New Roman"/>
          <w:sz w:val="24"/>
          <w:szCs w:val="24"/>
        </w:rPr>
      </w:pPr>
      <w:r>
        <w:rPr>
          <w:rFonts w:ascii="Times New Roman" w:hAnsi="Times New Roman" w:cs="Times New Roman"/>
          <w:sz w:val="24"/>
          <w:szCs w:val="24"/>
        </w:rPr>
        <w:tab/>
      </w:r>
      <w:r w:rsidR="00D92296" w:rsidRPr="00D92296">
        <w:rPr>
          <w:rFonts w:ascii="Times New Roman" w:hAnsi="Times New Roman" w:cs="Times New Roman"/>
          <w:sz w:val="24"/>
          <w:szCs w:val="24"/>
        </w:rPr>
        <w:t xml:space="preserve">The indications for transplantation were alcoholic liver disease (33.33%), NASH (58%) and viral liver disease (41%) including HBV and HCV which had equal incidence in the patients who had early mortality while 1 had </w:t>
      </w:r>
      <w:proofErr w:type="spellStart"/>
      <w:r w:rsidR="00D92296" w:rsidRPr="00D92296">
        <w:rPr>
          <w:rFonts w:ascii="Times New Roman" w:hAnsi="Times New Roman" w:cs="Times New Roman"/>
          <w:sz w:val="24"/>
          <w:szCs w:val="24"/>
        </w:rPr>
        <w:t>biliary</w:t>
      </w:r>
      <w:proofErr w:type="spellEnd"/>
      <w:r w:rsidR="00D92296" w:rsidRPr="00D92296">
        <w:rPr>
          <w:rFonts w:ascii="Times New Roman" w:hAnsi="Times New Roman" w:cs="Times New Roman"/>
          <w:sz w:val="24"/>
          <w:szCs w:val="24"/>
        </w:rPr>
        <w:t xml:space="preserve"> </w:t>
      </w:r>
      <w:proofErr w:type="spellStart"/>
      <w:r w:rsidR="00D92296" w:rsidRPr="00D92296">
        <w:rPr>
          <w:rFonts w:ascii="Times New Roman" w:hAnsi="Times New Roman" w:cs="Times New Roman"/>
          <w:sz w:val="24"/>
          <w:szCs w:val="24"/>
        </w:rPr>
        <w:t>atresia</w:t>
      </w:r>
      <w:proofErr w:type="spellEnd"/>
      <w:r w:rsidR="00D92296" w:rsidRPr="00D92296">
        <w:rPr>
          <w:rFonts w:ascii="Times New Roman" w:hAnsi="Times New Roman" w:cs="Times New Roman"/>
          <w:sz w:val="24"/>
          <w:szCs w:val="24"/>
        </w:rPr>
        <w:t xml:space="preserve"> and 1 had cryptogenic cirrhosis. Incidence of preoperative refractive </w:t>
      </w:r>
      <w:proofErr w:type="spellStart"/>
      <w:r w:rsidR="00D92296" w:rsidRPr="00D92296">
        <w:rPr>
          <w:rFonts w:ascii="Times New Roman" w:hAnsi="Times New Roman" w:cs="Times New Roman"/>
          <w:sz w:val="24"/>
          <w:szCs w:val="24"/>
        </w:rPr>
        <w:t>ascitis</w:t>
      </w:r>
      <w:proofErr w:type="spellEnd"/>
      <w:r w:rsidR="00D92296" w:rsidRPr="00D92296">
        <w:rPr>
          <w:rFonts w:ascii="Times New Roman" w:hAnsi="Times New Roman" w:cs="Times New Roman"/>
          <w:sz w:val="24"/>
          <w:szCs w:val="24"/>
        </w:rPr>
        <w:t xml:space="preserve"> (58%) and hepatic encephalopathy (66.6%) was higher as compared to renal dysfunction (33.33%)</w:t>
      </w:r>
      <w:proofErr w:type="gramStart"/>
      <w:r w:rsidR="00D92296" w:rsidRPr="00D92296">
        <w:rPr>
          <w:rFonts w:ascii="Times New Roman" w:hAnsi="Times New Roman" w:cs="Times New Roman"/>
          <w:sz w:val="24"/>
          <w:szCs w:val="24"/>
        </w:rPr>
        <w:t>,</w:t>
      </w:r>
      <w:proofErr w:type="gramEnd"/>
      <w:r w:rsidR="00D92296" w:rsidRPr="00D92296">
        <w:rPr>
          <w:rFonts w:ascii="Times New Roman" w:hAnsi="Times New Roman" w:cs="Times New Roman"/>
          <w:sz w:val="24"/>
          <w:szCs w:val="24"/>
        </w:rPr>
        <w:t xml:space="preserve"> spontaneous bacterial peritonitis (16.6%) and upper GI bleed (25%). Diabetes mellitus was associated with 50% patients while 25% had hypertension. </w:t>
      </w:r>
    </w:p>
    <w:p w:rsidR="00071115" w:rsidRPr="00D92296" w:rsidRDefault="00071115" w:rsidP="00D92296">
      <w:pPr>
        <w:rPr>
          <w:rFonts w:ascii="Times New Roman" w:hAnsi="Times New Roman" w:cs="Times New Roman"/>
          <w:sz w:val="24"/>
          <w:szCs w:val="24"/>
        </w:rPr>
      </w:pPr>
      <w:r w:rsidRPr="00071115">
        <w:rPr>
          <w:rFonts w:ascii="Times New Roman" w:hAnsi="Times New Roman" w:cs="Times New Roman"/>
          <w:sz w:val="24"/>
          <w:szCs w:val="24"/>
        </w:rPr>
        <w:lastRenderedPageBreak/>
        <w:drawing>
          <wp:inline distT="0" distB="0" distL="0" distR="0">
            <wp:extent cx="5943600" cy="3252470"/>
            <wp:effectExtent l="19050" t="0" r="1905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92296" w:rsidRPr="00D92296" w:rsidRDefault="008C41A3" w:rsidP="00D92296">
      <w:pPr>
        <w:rPr>
          <w:rFonts w:ascii="Times New Roman" w:hAnsi="Times New Roman" w:cs="Times New Roman"/>
          <w:sz w:val="24"/>
          <w:szCs w:val="24"/>
        </w:rPr>
      </w:pPr>
      <w:r>
        <w:rPr>
          <w:rFonts w:ascii="Times New Roman" w:hAnsi="Times New Roman" w:cs="Times New Roman"/>
          <w:sz w:val="24"/>
          <w:szCs w:val="24"/>
        </w:rPr>
        <w:tab/>
      </w:r>
      <w:r w:rsidR="00D92296" w:rsidRPr="00D92296">
        <w:rPr>
          <w:rFonts w:ascii="Times New Roman" w:hAnsi="Times New Roman" w:cs="Times New Roman"/>
          <w:sz w:val="24"/>
          <w:szCs w:val="24"/>
        </w:rPr>
        <w:t xml:space="preserve">Intra operatively 43.75% patients had vascular venous reconstruction for outflow but none had major vascular complication like bleed or vascular graft thrombosis. 62.5% patients had mild </w:t>
      </w:r>
      <w:proofErr w:type="spellStart"/>
      <w:r w:rsidR="00D92296" w:rsidRPr="00D92296">
        <w:rPr>
          <w:rFonts w:ascii="Times New Roman" w:hAnsi="Times New Roman" w:cs="Times New Roman"/>
          <w:sz w:val="24"/>
          <w:szCs w:val="24"/>
        </w:rPr>
        <w:t>ascitis</w:t>
      </w:r>
      <w:proofErr w:type="spellEnd"/>
      <w:r w:rsidR="00D92296" w:rsidRPr="00D92296">
        <w:rPr>
          <w:rFonts w:ascii="Times New Roman" w:hAnsi="Times New Roman" w:cs="Times New Roman"/>
          <w:sz w:val="24"/>
          <w:szCs w:val="24"/>
        </w:rPr>
        <w:t xml:space="preserve"> while 37.5 % patients had moderate to severe </w:t>
      </w:r>
      <w:proofErr w:type="spellStart"/>
      <w:r w:rsidR="00D92296" w:rsidRPr="00D92296">
        <w:rPr>
          <w:rFonts w:ascii="Times New Roman" w:hAnsi="Times New Roman" w:cs="Times New Roman"/>
          <w:sz w:val="24"/>
          <w:szCs w:val="24"/>
        </w:rPr>
        <w:t>ascitis</w:t>
      </w:r>
      <w:proofErr w:type="spellEnd"/>
      <w:r w:rsidR="00D92296" w:rsidRPr="00D92296">
        <w:rPr>
          <w:rFonts w:ascii="Times New Roman" w:hAnsi="Times New Roman" w:cs="Times New Roman"/>
          <w:sz w:val="24"/>
          <w:szCs w:val="24"/>
        </w:rPr>
        <w:t>. The average blood loss was 2076 ml whereas range was 120 ml to 8000 ml but all recipients had intra</w:t>
      </w:r>
      <w:r>
        <w:rPr>
          <w:rFonts w:ascii="Times New Roman" w:hAnsi="Times New Roman" w:cs="Times New Roman"/>
          <w:sz w:val="24"/>
          <w:szCs w:val="24"/>
        </w:rPr>
        <w:t>-</w:t>
      </w:r>
      <w:r w:rsidR="00D92296" w:rsidRPr="00D92296">
        <w:rPr>
          <w:rFonts w:ascii="Times New Roman" w:hAnsi="Times New Roman" w:cs="Times New Roman"/>
          <w:sz w:val="24"/>
          <w:szCs w:val="24"/>
        </w:rPr>
        <w:t>operative blood transfusions with an average of 3 units of packed red blood cells.</w:t>
      </w:r>
    </w:p>
    <w:p w:rsidR="00D92296" w:rsidRDefault="008C41A3" w:rsidP="00D92296">
      <w:pPr>
        <w:rPr>
          <w:rFonts w:ascii="Times New Roman" w:hAnsi="Times New Roman" w:cs="Times New Roman"/>
          <w:sz w:val="24"/>
          <w:szCs w:val="24"/>
        </w:rPr>
      </w:pPr>
      <w:r>
        <w:rPr>
          <w:rFonts w:ascii="Times New Roman" w:hAnsi="Times New Roman" w:cs="Times New Roman"/>
          <w:sz w:val="24"/>
          <w:szCs w:val="24"/>
        </w:rPr>
        <w:tab/>
        <w:t>P</w:t>
      </w:r>
      <w:r w:rsidR="00D92296" w:rsidRPr="00D92296">
        <w:rPr>
          <w:rFonts w:ascii="Times New Roman" w:hAnsi="Times New Roman" w:cs="Times New Roman"/>
          <w:sz w:val="24"/>
          <w:szCs w:val="24"/>
        </w:rPr>
        <w:t>ostoperative</w:t>
      </w:r>
      <w:r>
        <w:rPr>
          <w:rFonts w:ascii="Times New Roman" w:hAnsi="Times New Roman" w:cs="Times New Roman"/>
          <w:sz w:val="24"/>
          <w:szCs w:val="24"/>
        </w:rPr>
        <w:t>ly</w:t>
      </w:r>
      <w:r w:rsidR="00D92296" w:rsidRPr="00D92296">
        <w:rPr>
          <w:rFonts w:ascii="Times New Roman" w:hAnsi="Times New Roman" w:cs="Times New Roman"/>
          <w:sz w:val="24"/>
          <w:szCs w:val="24"/>
        </w:rPr>
        <w:t xml:space="preserve"> 2 patients (12.5%) had postoperative bleed which required re-exploration. None of them had postoperative bleed attributed to vascular reconstruction. 75% patients of the </w:t>
      </w:r>
      <w:r>
        <w:rPr>
          <w:rFonts w:ascii="Times New Roman" w:hAnsi="Times New Roman" w:cs="Times New Roman"/>
          <w:sz w:val="24"/>
          <w:szCs w:val="24"/>
        </w:rPr>
        <w:t>cohort had septic complications,</w:t>
      </w:r>
      <w:r w:rsidR="00D92296" w:rsidRPr="00D92296">
        <w:rPr>
          <w:rFonts w:ascii="Times New Roman" w:hAnsi="Times New Roman" w:cs="Times New Roman"/>
          <w:sz w:val="24"/>
          <w:szCs w:val="24"/>
        </w:rPr>
        <w:t xml:space="preserve"> 65.2% had renal dysfunction, 37.5% had acute cellular rejection (ACR), 25% patients had neurological complications, 31.25% had cardiac complications and 12.5% had </w:t>
      </w:r>
      <w:proofErr w:type="spellStart"/>
      <w:r w:rsidR="00D92296" w:rsidRPr="00D92296">
        <w:rPr>
          <w:rFonts w:ascii="Times New Roman" w:hAnsi="Times New Roman" w:cs="Times New Roman"/>
          <w:sz w:val="24"/>
          <w:szCs w:val="24"/>
        </w:rPr>
        <w:t>biliary</w:t>
      </w:r>
      <w:proofErr w:type="spellEnd"/>
      <w:r w:rsidR="00D92296" w:rsidRPr="00D92296">
        <w:rPr>
          <w:rFonts w:ascii="Times New Roman" w:hAnsi="Times New Roman" w:cs="Times New Roman"/>
          <w:sz w:val="24"/>
          <w:szCs w:val="24"/>
        </w:rPr>
        <w:t xml:space="preserve"> complications.</w:t>
      </w:r>
      <w:r>
        <w:rPr>
          <w:rFonts w:ascii="Times New Roman" w:hAnsi="Times New Roman" w:cs="Times New Roman"/>
          <w:sz w:val="24"/>
          <w:szCs w:val="24"/>
        </w:rPr>
        <w:t xml:space="preserve"> In </w:t>
      </w:r>
      <w:r w:rsidR="00D92296" w:rsidRPr="00D92296">
        <w:rPr>
          <w:rFonts w:ascii="Times New Roman" w:hAnsi="Times New Roman" w:cs="Times New Roman"/>
          <w:sz w:val="24"/>
          <w:szCs w:val="24"/>
        </w:rPr>
        <w:t xml:space="preserve">patients with septic complications postoperative renal dysfunction was most common and was associated with 75% patients closely following ACR (41.6%). Fatal sepsis was localised to blood (41.6%), followed by lung (33.33%) and </w:t>
      </w:r>
      <w:proofErr w:type="spellStart"/>
      <w:r w:rsidR="00D92296" w:rsidRPr="00D92296">
        <w:rPr>
          <w:rFonts w:ascii="Times New Roman" w:hAnsi="Times New Roman" w:cs="Times New Roman"/>
          <w:sz w:val="24"/>
          <w:szCs w:val="24"/>
        </w:rPr>
        <w:t>biliary</w:t>
      </w:r>
      <w:proofErr w:type="spellEnd"/>
      <w:r w:rsidR="00D92296" w:rsidRPr="00D92296">
        <w:rPr>
          <w:rFonts w:ascii="Times New Roman" w:hAnsi="Times New Roman" w:cs="Times New Roman"/>
          <w:sz w:val="24"/>
          <w:szCs w:val="24"/>
        </w:rPr>
        <w:t xml:space="preserve"> tree (25%).</w:t>
      </w:r>
    </w:p>
    <w:p w:rsidR="00071115" w:rsidRPr="00D92296" w:rsidRDefault="00071115" w:rsidP="00D92296">
      <w:pPr>
        <w:rPr>
          <w:rFonts w:ascii="Times New Roman" w:hAnsi="Times New Roman" w:cs="Times New Roman"/>
          <w:sz w:val="24"/>
          <w:szCs w:val="24"/>
        </w:rPr>
      </w:pPr>
      <w:r w:rsidRPr="00071115">
        <w:rPr>
          <w:rFonts w:ascii="Times New Roman" w:hAnsi="Times New Roman" w:cs="Times New Roman"/>
          <w:sz w:val="24"/>
          <w:szCs w:val="24"/>
        </w:rPr>
        <w:lastRenderedPageBreak/>
        <w:drawing>
          <wp:inline distT="0" distB="0" distL="0" distR="0">
            <wp:extent cx="4892222" cy="5283200"/>
            <wp:effectExtent l="19050" t="0" r="22678"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2296" w:rsidRPr="00D92296" w:rsidRDefault="008C41A3" w:rsidP="00D92296">
      <w:pPr>
        <w:rPr>
          <w:rFonts w:ascii="Times New Roman" w:hAnsi="Times New Roman" w:cs="Times New Roman"/>
          <w:sz w:val="24"/>
          <w:szCs w:val="24"/>
        </w:rPr>
      </w:pPr>
      <w:r>
        <w:rPr>
          <w:rFonts w:ascii="Times New Roman" w:hAnsi="Times New Roman" w:cs="Times New Roman"/>
          <w:sz w:val="24"/>
          <w:szCs w:val="24"/>
        </w:rPr>
        <w:tab/>
      </w:r>
      <w:r w:rsidR="00D92296" w:rsidRPr="00D92296">
        <w:rPr>
          <w:rFonts w:ascii="Times New Roman" w:hAnsi="Times New Roman" w:cs="Times New Roman"/>
          <w:sz w:val="24"/>
          <w:szCs w:val="24"/>
        </w:rPr>
        <w:t xml:space="preserve">Seventy five percent patients had isolated bacterial sepsis, 25% had combined fungal and bacterial while 8.33% patient had isolated fungal sepsis.  From 19 positive cultures 7 bacterial species and 2 fungal species were isolated, of which </w:t>
      </w:r>
      <w:proofErr w:type="spellStart"/>
      <w:r w:rsidR="00D92296" w:rsidRPr="00D92296">
        <w:rPr>
          <w:rFonts w:ascii="Times New Roman" w:hAnsi="Times New Roman" w:cs="Times New Roman"/>
          <w:sz w:val="24"/>
          <w:szCs w:val="24"/>
        </w:rPr>
        <w:t>carbapenum</w:t>
      </w:r>
      <w:proofErr w:type="spellEnd"/>
      <w:r w:rsidR="00D92296" w:rsidRPr="00D92296">
        <w:rPr>
          <w:rFonts w:ascii="Times New Roman" w:hAnsi="Times New Roman" w:cs="Times New Roman"/>
          <w:sz w:val="24"/>
          <w:szCs w:val="24"/>
        </w:rPr>
        <w:t xml:space="preserve"> resistant </w:t>
      </w:r>
      <w:proofErr w:type="spellStart"/>
      <w:r w:rsidR="00D92296" w:rsidRPr="00D92296">
        <w:rPr>
          <w:rFonts w:ascii="Times New Roman" w:hAnsi="Times New Roman" w:cs="Times New Roman"/>
          <w:i/>
          <w:iCs/>
          <w:sz w:val="24"/>
          <w:szCs w:val="24"/>
        </w:rPr>
        <w:t>Klebseilla</w:t>
      </w:r>
      <w:proofErr w:type="spellEnd"/>
      <w:r w:rsidR="00D92296" w:rsidRPr="00D92296">
        <w:rPr>
          <w:rFonts w:ascii="Times New Roman" w:hAnsi="Times New Roman" w:cs="Times New Roman"/>
          <w:i/>
          <w:iCs/>
          <w:sz w:val="24"/>
          <w:szCs w:val="24"/>
        </w:rPr>
        <w:t xml:space="preserve"> </w:t>
      </w:r>
      <w:proofErr w:type="spellStart"/>
      <w:r w:rsidR="00D92296" w:rsidRPr="00D92296">
        <w:rPr>
          <w:rFonts w:ascii="Times New Roman" w:hAnsi="Times New Roman" w:cs="Times New Roman"/>
          <w:i/>
          <w:iCs/>
          <w:sz w:val="24"/>
          <w:szCs w:val="24"/>
        </w:rPr>
        <w:t>pneumonae</w:t>
      </w:r>
      <w:proofErr w:type="spellEnd"/>
      <w:r w:rsidR="00D92296" w:rsidRPr="00D92296">
        <w:rPr>
          <w:rFonts w:ascii="Times New Roman" w:hAnsi="Times New Roman" w:cs="Times New Roman"/>
          <w:i/>
          <w:iCs/>
          <w:sz w:val="24"/>
          <w:szCs w:val="24"/>
        </w:rPr>
        <w:t xml:space="preserve"> </w:t>
      </w:r>
      <w:r w:rsidR="00D92296" w:rsidRPr="00D92296">
        <w:rPr>
          <w:rFonts w:ascii="Times New Roman" w:hAnsi="Times New Roman" w:cs="Times New Roman"/>
          <w:sz w:val="24"/>
          <w:szCs w:val="24"/>
        </w:rPr>
        <w:t xml:space="preserve">was most common bacteria isolated while </w:t>
      </w:r>
      <w:proofErr w:type="spellStart"/>
      <w:r w:rsidR="00D92296" w:rsidRPr="00D92296">
        <w:rPr>
          <w:rFonts w:ascii="Times New Roman" w:hAnsi="Times New Roman" w:cs="Times New Roman"/>
          <w:i/>
          <w:iCs/>
          <w:sz w:val="24"/>
          <w:szCs w:val="24"/>
        </w:rPr>
        <w:t>candida</w:t>
      </w:r>
      <w:proofErr w:type="spellEnd"/>
      <w:r w:rsidR="00D92296" w:rsidRPr="00D92296">
        <w:rPr>
          <w:rFonts w:ascii="Times New Roman" w:hAnsi="Times New Roman" w:cs="Times New Roman"/>
          <w:sz w:val="24"/>
          <w:szCs w:val="24"/>
        </w:rPr>
        <w:t xml:space="preserve"> was the most common fungal species isolated in patients with sepsis. </w:t>
      </w:r>
      <w:proofErr w:type="spellStart"/>
      <w:r w:rsidR="00D92296" w:rsidRPr="00D92296">
        <w:rPr>
          <w:rFonts w:ascii="Times New Roman" w:hAnsi="Times New Roman" w:cs="Times New Roman"/>
          <w:sz w:val="24"/>
          <w:szCs w:val="24"/>
        </w:rPr>
        <w:t>Carbepenum</w:t>
      </w:r>
      <w:proofErr w:type="spellEnd"/>
      <w:r w:rsidR="00D92296" w:rsidRPr="00D92296">
        <w:rPr>
          <w:rFonts w:ascii="Times New Roman" w:hAnsi="Times New Roman" w:cs="Times New Roman"/>
          <w:sz w:val="24"/>
          <w:szCs w:val="24"/>
        </w:rPr>
        <w:t xml:space="preserve"> resistant </w:t>
      </w:r>
      <w:proofErr w:type="spellStart"/>
      <w:r w:rsidR="00D92296" w:rsidRPr="00D92296">
        <w:rPr>
          <w:rFonts w:ascii="Times New Roman" w:hAnsi="Times New Roman" w:cs="Times New Roman"/>
          <w:i/>
          <w:iCs/>
          <w:sz w:val="24"/>
          <w:szCs w:val="24"/>
        </w:rPr>
        <w:t>Klebsiella</w:t>
      </w:r>
      <w:proofErr w:type="spellEnd"/>
      <w:r w:rsidR="00D92296" w:rsidRPr="00D92296">
        <w:rPr>
          <w:rFonts w:ascii="Times New Roman" w:hAnsi="Times New Roman" w:cs="Times New Roman"/>
          <w:i/>
          <w:iCs/>
          <w:sz w:val="24"/>
          <w:szCs w:val="24"/>
        </w:rPr>
        <w:t xml:space="preserve"> </w:t>
      </w:r>
      <w:r w:rsidR="00D92296" w:rsidRPr="00D92296">
        <w:rPr>
          <w:rFonts w:ascii="Times New Roman" w:hAnsi="Times New Roman" w:cs="Times New Roman"/>
          <w:sz w:val="24"/>
          <w:szCs w:val="24"/>
        </w:rPr>
        <w:t xml:space="preserve">was found in 50% of patients died of sepsis which was common in post operative renal dysfunction, followed by extended beta </w:t>
      </w:r>
      <w:proofErr w:type="spellStart"/>
      <w:r w:rsidR="00D92296" w:rsidRPr="00D92296">
        <w:rPr>
          <w:rFonts w:ascii="Times New Roman" w:hAnsi="Times New Roman" w:cs="Times New Roman"/>
          <w:sz w:val="24"/>
          <w:szCs w:val="24"/>
        </w:rPr>
        <w:t>lactamase</w:t>
      </w:r>
      <w:proofErr w:type="spellEnd"/>
      <w:r w:rsidR="00D92296" w:rsidRPr="00D92296">
        <w:rPr>
          <w:rFonts w:ascii="Times New Roman" w:hAnsi="Times New Roman" w:cs="Times New Roman"/>
          <w:sz w:val="24"/>
          <w:szCs w:val="24"/>
        </w:rPr>
        <w:t xml:space="preserve"> producing </w:t>
      </w:r>
      <w:proofErr w:type="spellStart"/>
      <w:r w:rsidR="00D92296" w:rsidRPr="00D92296">
        <w:rPr>
          <w:rFonts w:ascii="Times New Roman" w:hAnsi="Times New Roman" w:cs="Times New Roman"/>
          <w:i/>
          <w:iCs/>
          <w:sz w:val="24"/>
          <w:szCs w:val="24"/>
        </w:rPr>
        <w:t>Escheriasea</w:t>
      </w:r>
      <w:proofErr w:type="spellEnd"/>
      <w:r w:rsidR="00D92296" w:rsidRPr="00D92296">
        <w:rPr>
          <w:rFonts w:ascii="Times New Roman" w:hAnsi="Times New Roman" w:cs="Times New Roman"/>
          <w:i/>
          <w:iCs/>
          <w:sz w:val="24"/>
          <w:szCs w:val="24"/>
        </w:rPr>
        <w:t xml:space="preserve"> coli </w:t>
      </w:r>
      <w:r w:rsidR="00D92296" w:rsidRPr="00D92296">
        <w:rPr>
          <w:rFonts w:ascii="Times New Roman" w:hAnsi="Times New Roman" w:cs="Times New Roman"/>
          <w:sz w:val="24"/>
          <w:szCs w:val="24"/>
        </w:rPr>
        <w:t xml:space="preserve">and </w:t>
      </w:r>
      <w:proofErr w:type="spellStart"/>
      <w:r w:rsidR="00D92296" w:rsidRPr="00D92296">
        <w:rPr>
          <w:rFonts w:ascii="Times New Roman" w:hAnsi="Times New Roman" w:cs="Times New Roman"/>
          <w:i/>
          <w:iCs/>
          <w:sz w:val="24"/>
          <w:szCs w:val="24"/>
        </w:rPr>
        <w:t>candida</w:t>
      </w:r>
      <w:proofErr w:type="spellEnd"/>
      <w:r w:rsidR="00D92296" w:rsidRPr="00D92296">
        <w:rPr>
          <w:rFonts w:ascii="Times New Roman" w:hAnsi="Times New Roman" w:cs="Times New Roman"/>
          <w:i/>
          <w:iCs/>
          <w:sz w:val="24"/>
          <w:szCs w:val="24"/>
        </w:rPr>
        <w:t xml:space="preserve"> species</w:t>
      </w:r>
      <w:r w:rsidR="00D92296" w:rsidRPr="00D92296">
        <w:rPr>
          <w:rFonts w:ascii="Times New Roman" w:hAnsi="Times New Roman" w:cs="Times New Roman"/>
          <w:sz w:val="24"/>
          <w:szCs w:val="24"/>
        </w:rPr>
        <w:t>.</w:t>
      </w:r>
    </w:p>
    <w:p w:rsidR="00D92296" w:rsidRDefault="00D92296">
      <w:pPr>
        <w:rPr>
          <w:rFonts w:ascii="Times New Roman" w:hAnsi="Times New Roman" w:cs="Times New Roman"/>
          <w:sz w:val="24"/>
          <w:szCs w:val="24"/>
        </w:rPr>
      </w:pPr>
    </w:p>
    <w:p w:rsidR="00D92296" w:rsidRDefault="00D92296" w:rsidP="00D92296">
      <w:pPr>
        <w:rPr>
          <w:rFonts w:ascii="Times New Roman" w:hAnsi="Times New Roman" w:cs="Times New Roman"/>
          <w:sz w:val="24"/>
          <w:szCs w:val="24"/>
        </w:rPr>
      </w:pPr>
      <w:r w:rsidRPr="00D92296">
        <w:rPr>
          <w:rFonts w:ascii="Times New Roman" w:hAnsi="Times New Roman" w:cs="Times New Roman"/>
          <w:b/>
          <w:sz w:val="24"/>
          <w:szCs w:val="24"/>
        </w:rPr>
        <w:t xml:space="preserve">Conclusion: </w:t>
      </w:r>
    </w:p>
    <w:p w:rsidR="00D92296" w:rsidRPr="00D92296" w:rsidRDefault="00D92296" w:rsidP="00D92296">
      <w:pPr>
        <w:rPr>
          <w:rFonts w:ascii="Times New Roman" w:hAnsi="Times New Roman" w:cs="Times New Roman"/>
          <w:sz w:val="24"/>
          <w:szCs w:val="24"/>
        </w:rPr>
      </w:pPr>
      <w:r>
        <w:rPr>
          <w:rFonts w:ascii="Times New Roman" w:hAnsi="Times New Roman" w:cs="Times New Roman"/>
          <w:sz w:val="24"/>
          <w:szCs w:val="24"/>
        </w:rPr>
        <w:tab/>
      </w:r>
      <w:r w:rsidRPr="00D92296">
        <w:rPr>
          <w:rFonts w:ascii="Times New Roman" w:hAnsi="Times New Roman" w:cs="Times New Roman"/>
          <w:sz w:val="24"/>
          <w:szCs w:val="24"/>
        </w:rPr>
        <w:t>Current study identified infective complications, predominantly bacterial, as leading cause of mortality (75%). Sepsis was commonly found in the blood stream</w:t>
      </w:r>
      <w:r>
        <w:rPr>
          <w:rFonts w:ascii="Times New Roman" w:hAnsi="Times New Roman" w:cs="Times New Roman"/>
          <w:sz w:val="24"/>
          <w:szCs w:val="24"/>
        </w:rPr>
        <w:t xml:space="preserve"> </w:t>
      </w:r>
      <w:r w:rsidRPr="00D92296">
        <w:rPr>
          <w:rFonts w:ascii="Times New Roman" w:hAnsi="Times New Roman" w:cs="Times New Roman"/>
          <w:sz w:val="24"/>
          <w:szCs w:val="24"/>
        </w:rPr>
        <w:t xml:space="preserve">(41.6%) while </w:t>
      </w:r>
      <w:proofErr w:type="spellStart"/>
      <w:r w:rsidRPr="00D92296">
        <w:rPr>
          <w:rFonts w:ascii="Times New Roman" w:hAnsi="Times New Roman" w:cs="Times New Roman"/>
          <w:sz w:val="24"/>
          <w:szCs w:val="24"/>
        </w:rPr>
        <w:t>Carbapenum</w:t>
      </w:r>
      <w:proofErr w:type="spellEnd"/>
      <w:r w:rsidRPr="00D92296">
        <w:rPr>
          <w:rFonts w:ascii="Times New Roman" w:hAnsi="Times New Roman" w:cs="Times New Roman"/>
          <w:sz w:val="24"/>
          <w:szCs w:val="24"/>
        </w:rPr>
        <w:t xml:space="preserve"> resistant </w:t>
      </w:r>
      <w:proofErr w:type="spellStart"/>
      <w:r w:rsidRPr="00D92296">
        <w:rPr>
          <w:rFonts w:ascii="Times New Roman" w:hAnsi="Times New Roman" w:cs="Times New Roman"/>
          <w:sz w:val="24"/>
          <w:szCs w:val="24"/>
        </w:rPr>
        <w:t>Klebsiella</w:t>
      </w:r>
      <w:proofErr w:type="spellEnd"/>
      <w:r w:rsidRPr="00D92296">
        <w:rPr>
          <w:rFonts w:ascii="Times New Roman" w:hAnsi="Times New Roman" w:cs="Times New Roman"/>
          <w:sz w:val="24"/>
          <w:szCs w:val="24"/>
        </w:rPr>
        <w:t xml:space="preserve"> was the commonest pathogen, pr</w:t>
      </w:r>
      <w:r>
        <w:rPr>
          <w:rFonts w:ascii="Times New Roman" w:hAnsi="Times New Roman" w:cs="Times New Roman"/>
          <w:sz w:val="24"/>
          <w:szCs w:val="24"/>
        </w:rPr>
        <w:t>e</w:t>
      </w:r>
      <w:r w:rsidRPr="00D92296">
        <w:rPr>
          <w:rFonts w:ascii="Times New Roman" w:hAnsi="Times New Roman" w:cs="Times New Roman"/>
          <w:sz w:val="24"/>
          <w:szCs w:val="24"/>
        </w:rPr>
        <w:t xml:space="preserve">sent in over 50% of our </w:t>
      </w:r>
      <w:r w:rsidRPr="00D92296">
        <w:rPr>
          <w:rFonts w:ascii="Times New Roman" w:hAnsi="Times New Roman" w:cs="Times New Roman"/>
          <w:sz w:val="24"/>
          <w:szCs w:val="24"/>
        </w:rPr>
        <w:lastRenderedPageBreak/>
        <w:t>cohort</w:t>
      </w:r>
      <w:bookmarkStart w:id="0" w:name="_GoBack"/>
      <w:bookmarkEnd w:id="0"/>
      <w:r w:rsidRPr="00D92296">
        <w:rPr>
          <w:rFonts w:ascii="Times New Roman" w:hAnsi="Times New Roman" w:cs="Times New Roman"/>
          <w:sz w:val="24"/>
          <w:szCs w:val="24"/>
        </w:rPr>
        <w:t>. Since small sample size was the limitation of study; large multicentre studies are necessary.</w:t>
      </w:r>
    </w:p>
    <w:p w:rsidR="00D92296" w:rsidRPr="004F6FD0" w:rsidRDefault="00D92296">
      <w:pPr>
        <w:rPr>
          <w:rFonts w:ascii="Times New Roman" w:hAnsi="Times New Roman" w:cs="Times New Roman"/>
          <w:sz w:val="24"/>
          <w:szCs w:val="24"/>
        </w:rPr>
      </w:pPr>
    </w:p>
    <w:sectPr w:rsidR="00D92296" w:rsidRPr="004F6FD0" w:rsidSect="003E72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FD0"/>
    <w:rsid w:val="00071115"/>
    <w:rsid w:val="0011578C"/>
    <w:rsid w:val="00116A69"/>
    <w:rsid w:val="00117270"/>
    <w:rsid w:val="001E178B"/>
    <w:rsid w:val="002C53DF"/>
    <w:rsid w:val="003E7232"/>
    <w:rsid w:val="00447414"/>
    <w:rsid w:val="004F6FD0"/>
    <w:rsid w:val="00661879"/>
    <w:rsid w:val="008C41A3"/>
    <w:rsid w:val="008D7A7B"/>
    <w:rsid w:val="00AA72F7"/>
    <w:rsid w:val="00BB6911"/>
    <w:rsid w:val="00C87B9C"/>
    <w:rsid w:val="00D33BB3"/>
    <w:rsid w:val="00D92296"/>
    <w:rsid w:val="00F10388"/>
    <w:rsid w:val="00F314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D0"/>
    <w:pPr>
      <w:spacing w:after="200" w:line="276" w:lineRule="auto"/>
    </w:pPr>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115"/>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310452950">
      <w:bodyDiv w:val="1"/>
      <w:marLeft w:val="0"/>
      <w:marRight w:val="0"/>
      <w:marTop w:val="0"/>
      <w:marBottom w:val="0"/>
      <w:divBdr>
        <w:top w:val="none" w:sz="0" w:space="0" w:color="auto"/>
        <w:left w:val="none" w:sz="0" w:space="0" w:color="auto"/>
        <w:bottom w:val="none" w:sz="0" w:space="0" w:color="auto"/>
        <w:right w:val="none" w:sz="0" w:space="0" w:color="auto"/>
      </w:divBdr>
    </w:div>
    <w:div w:id="746225528">
      <w:bodyDiv w:val="1"/>
      <w:marLeft w:val="0"/>
      <w:marRight w:val="0"/>
      <w:marTop w:val="0"/>
      <w:marBottom w:val="0"/>
      <w:divBdr>
        <w:top w:val="none" w:sz="0" w:space="0" w:color="auto"/>
        <w:left w:val="none" w:sz="0" w:space="0" w:color="auto"/>
        <w:bottom w:val="none" w:sz="0" w:space="0" w:color="auto"/>
        <w:right w:val="none" w:sz="0" w:space="0" w:color="auto"/>
      </w:divBdr>
      <w:divsChild>
        <w:div w:id="1858883479">
          <w:marLeft w:val="0"/>
          <w:marRight w:val="0"/>
          <w:marTop w:val="176"/>
          <w:marBottom w:val="0"/>
          <w:divBdr>
            <w:top w:val="none" w:sz="0" w:space="0" w:color="auto"/>
            <w:left w:val="none" w:sz="0" w:space="0" w:color="auto"/>
            <w:bottom w:val="none" w:sz="0" w:space="0" w:color="auto"/>
            <w:right w:val="none" w:sz="0" w:space="0" w:color="auto"/>
          </w:divBdr>
        </w:div>
        <w:div w:id="1916209842">
          <w:marLeft w:val="0"/>
          <w:marRight w:val="0"/>
          <w:marTop w:val="176"/>
          <w:marBottom w:val="0"/>
          <w:divBdr>
            <w:top w:val="none" w:sz="0" w:space="0" w:color="auto"/>
            <w:left w:val="none" w:sz="0" w:space="0" w:color="auto"/>
            <w:bottom w:val="none" w:sz="0" w:space="0" w:color="auto"/>
            <w:right w:val="none" w:sz="0" w:space="0" w:color="auto"/>
          </w:divBdr>
        </w:div>
        <w:div w:id="1432893902">
          <w:marLeft w:val="0"/>
          <w:marRight w:val="0"/>
          <w:marTop w:val="176"/>
          <w:marBottom w:val="0"/>
          <w:divBdr>
            <w:top w:val="none" w:sz="0" w:space="0" w:color="auto"/>
            <w:left w:val="none" w:sz="0" w:space="0" w:color="auto"/>
            <w:bottom w:val="none" w:sz="0" w:space="0" w:color="auto"/>
            <w:right w:val="none" w:sz="0" w:space="0" w:color="auto"/>
          </w:divBdr>
        </w:div>
        <w:div w:id="634799486">
          <w:marLeft w:val="0"/>
          <w:marRight w:val="0"/>
          <w:marTop w:val="176"/>
          <w:marBottom w:val="0"/>
          <w:divBdr>
            <w:top w:val="none" w:sz="0" w:space="0" w:color="auto"/>
            <w:left w:val="none" w:sz="0" w:space="0" w:color="auto"/>
            <w:bottom w:val="none" w:sz="0" w:space="0" w:color="auto"/>
            <w:right w:val="none" w:sz="0" w:space="0" w:color="auto"/>
          </w:divBdr>
        </w:div>
        <w:div w:id="365719125">
          <w:marLeft w:val="0"/>
          <w:marRight w:val="0"/>
          <w:marTop w:val="176"/>
          <w:marBottom w:val="0"/>
          <w:divBdr>
            <w:top w:val="none" w:sz="0" w:space="0" w:color="auto"/>
            <w:left w:val="none" w:sz="0" w:space="0" w:color="auto"/>
            <w:bottom w:val="none" w:sz="0" w:space="0" w:color="auto"/>
            <w:right w:val="none" w:sz="0" w:space="0" w:color="auto"/>
          </w:divBdr>
        </w:div>
        <w:div w:id="1570577012">
          <w:marLeft w:val="0"/>
          <w:marRight w:val="0"/>
          <w:marTop w:val="176"/>
          <w:marBottom w:val="0"/>
          <w:divBdr>
            <w:top w:val="none" w:sz="0" w:space="0" w:color="auto"/>
            <w:left w:val="none" w:sz="0" w:space="0" w:color="auto"/>
            <w:bottom w:val="none" w:sz="0" w:space="0" w:color="auto"/>
            <w:right w:val="none" w:sz="0" w:space="0" w:color="auto"/>
          </w:divBdr>
        </w:div>
        <w:div w:id="1454136030">
          <w:marLeft w:val="0"/>
          <w:marRight w:val="0"/>
          <w:marTop w:val="176"/>
          <w:marBottom w:val="0"/>
          <w:divBdr>
            <w:top w:val="none" w:sz="0" w:space="0" w:color="auto"/>
            <w:left w:val="none" w:sz="0" w:space="0" w:color="auto"/>
            <w:bottom w:val="none" w:sz="0" w:space="0" w:color="auto"/>
            <w:right w:val="none" w:sz="0" w:space="0" w:color="auto"/>
          </w:divBdr>
        </w:div>
        <w:div w:id="226843548">
          <w:marLeft w:val="0"/>
          <w:marRight w:val="0"/>
          <w:marTop w:val="176"/>
          <w:marBottom w:val="0"/>
          <w:divBdr>
            <w:top w:val="none" w:sz="0" w:space="0" w:color="auto"/>
            <w:left w:val="none" w:sz="0" w:space="0" w:color="auto"/>
            <w:bottom w:val="none" w:sz="0" w:space="0" w:color="auto"/>
            <w:right w:val="none" w:sz="0" w:space="0" w:color="auto"/>
          </w:divBdr>
        </w:div>
        <w:div w:id="126625195">
          <w:marLeft w:val="0"/>
          <w:marRight w:val="0"/>
          <w:marTop w:val="176"/>
          <w:marBottom w:val="0"/>
          <w:divBdr>
            <w:top w:val="none" w:sz="0" w:space="0" w:color="auto"/>
            <w:left w:val="none" w:sz="0" w:space="0" w:color="auto"/>
            <w:bottom w:val="none" w:sz="0" w:space="0" w:color="auto"/>
            <w:right w:val="none" w:sz="0" w:space="0" w:color="auto"/>
          </w:divBdr>
        </w:div>
      </w:divsChild>
    </w:div>
    <w:div w:id="1097169978">
      <w:bodyDiv w:val="1"/>
      <w:marLeft w:val="0"/>
      <w:marRight w:val="0"/>
      <w:marTop w:val="0"/>
      <w:marBottom w:val="0"/>
      <w:divBdr>
        <w:top w:val="none" w:sz="0" w:space="0" w:color="auto"/>
        <w:left w:val="none" w:sz="0" w:space="0" w:color="auto"/>
        <w:bottom w:val="none" w:sz="0" w:space="0" w:color="auto"/>
        <w:right w:val="none" w:sz="0" w:space="0" w:color="auto"/>
      </w:divBdr>
      <w:divsChild>
        <w:div w:id="568465605">
          <w:marLeft w:val="0"/>
          <w:marRight w:val="0"/>
          <w:marTop w:val="176"/>
          <w:marBottom w:val="0"/>
          <w:divBdr>
            <w:top w:val="none" w:sz="0" w:space="0" w:color="auto"/>
            <w:left w:val="none" w:sz="0" w:space="0" w:color="auto"/>
            <w:bottom w:val="none" w:sz="0" w:space="0" w:color="auto"/>
            <w:right w:val="none" w:sz="0" w:space="0" w:color="auto"/>
          </w:divBdr>
        </w:div>
        <w:div w:id="1508246965">
          <w:marLeft w:val="0"/>
          <w:marRight w:val="0"/>
          <w:marTop w:val="176"/>
          <w:marBottom w:val="0"/>
          <w:divBdr>
            <w:top w:val="none" w:sz="0" w:space="0" w:color="auto"/>
            <w:left w:val="none" w:sz="0" w:space="0" w:color="auto"/>
            <w:bottom w:val="none" w:sz="0" w:space="0" w:color="auto"/>
            <w:right w:val="none" w:sz="0" w:space="0" w:color="auto"/>
          </w:divBdr>
        </w:div>
        <w:div w:id="41753220">
          <w:marLeft w:val="0"/>
          <w:marRight w:val="0"/>
          <w:marTop w:val="176"/>
          <w:marBottom w:val="0"/>
          <w:divBdr>
            <w:top w:val="none" w:sz="0" w:space="0" w:color="auto"/>
            <w:left w:val="none" w:sz="0" w:space="0" w:color="auto"/>
            <w:bottom w:val="none" w:sz="0" w:space="0" w:color="auto"/>
            <w:right w:val="none" w:sz="0" w:space="0" w:color="auto"/>
          </w:divBdr>
        </w:div>
        <w:div w:id="1448161267">
          <w:marLeft w:val="0"/>
          <w:marRight w:val="0"/>
          <w:marTop w:val="176"/>
          <w:marBottom w:val="0"/>
          <w:divBdr>
            <w:top w:val="none" w:sz="0" w:space="0" w:color="auto"/>
            <w:left w:val="none" w:sz="0" w:space="0" w:color="auto"/>
            <w:bottom w:val="none" w:sz="0" w:space="0" w:color="auto"/>
            <w:right w:val="none" w:sz="0" w:space="0" w:color="auto"/>
          </w:divBdr>
        </w:div>
        <w:div w:id="136267291">
          <w:marLeft w:val="0"/>
          <w:marRight w:val="0"/>
          <w:marTop w:val="176"/>
          <w:marBottom w:val="0"/>
          <w:divBdr>
            <w:top w:val="none" w:sz="0" w:space="0" w:color="auto"/>
            <w:left w:val="none" w:sz="0" w:space="0" w:color="auto"/>
            <w:bottom w:val="none" w:sz="0" w:space="0" w:color="auto"/>
            <w:right w:val="none" w:sz="0" w:space="0" w:color="auto"/>
          </w:divBdr>
        </w:div>
        <w:div w:id="624770317">
          <w:marLeft w:val="0"/>
          <w:marRight w:val="0"/>
          <w:marTop w:val="176"/>
          <w:marBottom w:val="0"/>
          <w:divBdr>
            <w:top w:val="none" w:sz="0" w:space="0" w:color="auto"/>
            <w:left w:val="none" w:sz="0" w:space="0" w:color="auto"/>
            <w:bottom w:val="none" w:sz="0" w:space="0" w:color="auto"/>
            <w:right w:val="none" w:sz="0" w:space="0" w:color="auto"/>
          </w:divBdr>
        </w:div>
        <w:div w:id="717364445">
          <w:marLeft w:val="0"/>
          <w:marRight w:val="0"/>
          <w:marTop w:val="176"/>
          <w:marBottom w:val="0"/>
          <w:divBdr>
            <w:top w:val="none" w:sz="0" w:space="0" w:color="auto"/>
            <w:left w:val="none" w:sz="0" w:space="0" w:color="auto"/>
            <w:bottom w:val="none" w:sz="0" w:space="0" w:color="auto"/>
            <w:right w:val="none" w:sz="0" w:space="0" w:color="auto"/>
          </w:divBdr>
        </w:div>
        <w:div w:id="1207644061">
          <w:marLeft w:val="0"/>
          <w:marRight w:val="0"/>
          <w:marTop w:val="176"/>
          <w:marBottom w:val="0"/>
          <w:divBdr>
            <w:top w:val="none" w:sz="0" w:space="0" w:color="auto"/>
            <w:left w:val="none" w:sz="0" w:space="0" w:color="auto"/>
            <w:bottom w:val="none" w:sz="0" w:space="0" w:color="auto"/>
            <w:right w:val="none" w:sz="0" w:space="0" w:color="auto"/>
          </w:divBdr>
        </w:div>
        <w:div w:id="711078036">
          <w:marLeft w:val="0"/>
          <w:marRight w:val="0"/>
          <w:marTop w:val="176"/>
          <w:marBottom w:val="0"/>
          <w:divBdr>
            <w:top w:val="none" w:sz="0" w:space="0" w:color="auto"/>
            <w:left w:val="none" w:sz="0" w:space="0" w:color="auto"/>
            <w:bottom w:val="none" w:sz="0" w:space="0" w:color="auto"/>
            <w:right w:val="none" w:sz="0" w:space="0" w:color="auto"/>
          </w:divBdr>
        </w:div>
      </w:divsChild>
    </w:div>
    <w:div w:id="1305084753">
      <w:bodyDiv w:val="1"/>
      <w:marLeft w:val="0"/>
      <w:marRight w:val="0"/>
      <w:marTop w:val="0"/>
      <w:marBottom w:val="0"/>
      <w:divBdr>
        <w:top w:val="none" w:sz="0" w:space="0" w:color="auto"/>
        <w:left w:val="none" w:sz="0" w:space="0" w:color="auto"/>
        <w:bottom w:val="none" w:sz="0" w:space="0" w:color="auto"/>
        <w:right w:val="none" w:sz="0" w:space="0" w:color="auto"/>
      </w:divBdr>
      <w:divsChild>
        <w:div w:id="865678779">
          <w:marLeft w:val="0"/>
          <w:marRight w:val="0"/>
          <w:marTop w:val="176"/>
          <w:marBottom w:val="0"/>
          <w:divBdr>
            <w:top w:val="none" w:sz="0" w:space="0" w:color="auto"/>
            <w:left w:val="none" w:sz="0" w:space="0" w:color="auto"/>
            <w:bottom w:val="none" w:sz="0" w:space="0" w:color="auto"/>
            <w:right w:val="none" w:sz="0" w:space="0" w:color="auto"/>
          </w:divBdr>
        </w:div>
        <w:div w:id="1612055324">
          <w:marLeft w:val="0"/>
          <w:marRight w:val="0"/>
          <w:marTop w:val="176"/>
          <w:marBottom w:val="0"/>
          <w:divBdr>
            <w:top w:val="none" w:sz="0" w:space="0" w:color="auto"/>
            <w:left w:val="none" w:sz="0" w:space="0" w:color="auto"/>
            <w:bottom w:val="none" w:sz="0" w:space="0" w:color="auto"/>
            <w:right w:val="none" w:sz="0" w:space="0" w:color="auto"/>
          </w:divBdr>
        </w:div>
        <w:div w:id="1597209225">
          <w:marLeft w:val="0"/>
          <w:marRight w:val="0"/>
          <w:marTop w:val="176"/>
          <w:marBottom w:val="0"/>
          <w:divBdr>
            <w:top w:val="none" w:sz="0" w:space="0" w:color="auto"/>
            <w:left w:val="none" w:sz="0" w:space="0" w:color="auto"/>
            <w:bottom w:val="none" w:sz="0" w:space="0" w:color="auto"/>
            <w:right w:val="none" w:sz="0" w:space="0" w:color="auto"/>
          </w:divBdr>
        </w:div>
        <w:div w:id="198710936">
          <w:marLeft w:val="0"/>
          <w:marRight w:val="0"/>
          <w:marTop w:val="176"/>
          <w:marBottom w:val="0"/>
          <w:divBdr>
            <w:top w:val="none" w:sz="0" w:space="0" w:color="auto"/>
            <w:left w:val="none" w:sz="0" w:space="0" w:color="auto"/>
            <w:bottom w:val="none" w:sz="0" w:space="0" w:color="auto"/>
            <w:right w:val="none" w:sz="0" w:space="0" w:color="auto"/>
          </w:divBdr>
        </w:div>
        <w:div w:id="1289312901">
          <w:marLeft w:val="0"/>
          <w:marRight w:val="0"/>
          <w:marTop w:val="176"/>
          <w:marBottom w:val="0"/>
          <w:divBdr>
            <w:top w:val="none" w:sz="0" w:space="0" w:color="auto"/>
            <w:left w:val="none" w:sz="0" w:space="0" w:color="auto"/>
            <w:bottom w:val="none" w:sz="0" w:space="0" w:color="auto"/>
            <w:right w:val="none" w:sz="0" w:space="0" w:color="auto"/>
          </w:divBdr>
        </w:div>
        <w:div w:id="1162157423">
          <w:marLeft w:val="0"/>
          <w:marRight w:val="0"/>
          <w:marTop w:val="176"/>
          <w:marBottom w:val="0"/>
          <w:divBdr>
            <w:top w:val="none" w:sz="0" w:space="0" w:color="auto"/>
            <w:left w:val="none" w:sz="0" w:space="0" w:color="auto"/>
            <w:bottom w:val="none" w:sz="0" w:space="0" w:color="auto"/>
            <w:right w:val="none" w:sz="0" w:space="0" w:color="auto"/>
          </w:divBdr>
        </w:div>
        <w:div w:id="1280844546">
          <w:marLeft w:val="0"/>
          <w:marRight w:val="0"/>
          <w:marTop w:val="176"/>
          <w:marBottom w:val="0"/>
          <w:divBdr>
            <w:top w:val="none" w:sz="0" w:space="0" w:color="auto"/>
            <w:left w:val="none" w:sz="0" w:space="0" w:color="auto"/>
            <w:bottom w:val="none" w:sz="0" w:space="0" w:color="auto"/>
            <w:right w:val="none" w:sz="0" w:space="0" w:color="auto"/>
          </w:divBdr>
        </w:div>
        <w:div w:id="174075921">
          <w:marLeft w:val="0"/>
          <w:marRight w:val="0"/>
          <w:marTop w:val="176"/>
          <w:marBottom w:val="0"/>
          <w:divBdr>
            <w:top w:val="none" w:sz="0" w:space="0" w:color="auto"/>
            <w:left w:val="none" w:sz="0" w:space="0" w:color="auto"/>
            <w:bottom w:val="none" w:sz="0" w:space="0" w:color="auto"/>
            <w:right w:val="none" w:sz="0" w:space="0" w:color="auto"/>
          </w:divBdr>
        </w:div>
        <w:div w:id="2141458288">
          <w:marLeft w:val="0"/>
          <w:marRight w:val="0"/>
          <w:marTop w:val="176"/>
          <w:marBottom w:val="0"/>
          <w:divBdr>
            <w:top w:val="none" w:sz="0" w:space="0" w:color="auto"/>
            <w:left w:val="none" w:sz="0" w:space="0" w:color="auto"/>
            <w:bottom w:val="none" w:sz="0" w:space="0" w:color="auto"/>
            <w:right w:val="none" w:sz="0" w:space="0" w:color="auto"/>
          </w:divBdr>
        </w:div>
      </w:divsChild>
    </w:div>
    <w:div w:id="1343774672">
      <w:bodyDiv w:val="1"/>
      <w:marLeft w:val="0"/>
      <w:marRight w:val="0"/>
      <w:marTop w:val="0"/>
      <w:marBottom w:val="0"/>
      <w:divBdr>
        <w:top w:val="none" w:sz="0" w:space="0" w:color="auto"/>
        <w:left w:val="none" w:sz="0" w:space="0" w:color="auto"/>
        <w:bottom w:val="none" w:sz="0" w:space="0" w:color="auto"/>
        <w:right w:val="none" w:sz="0" w:space="0" w:color="auto"/>
      </w:divBdr>
    </w:div>
    <w:div w:id="1896818697">
      <w:bodyDiv w:val="1"/>
      <w:marLeft w:val="0"/>
      <w:marRight w:val="0"/>
      <w:marTop w:val="0"/>
      <w:marBottom w:val="0"/>
      <w:divBdr>
        <w:top w:val="none" w:sz="0" w:space="0" w:color="auto"/>
        <w:left w:val="none" w:sz="0" w:space="0" w:color="auto"/>
        <w:bottom w:val="none" w:sz="0" w:space="0" w:color="auto"/>
        <w:right w:val="none" w:sz="0" w:space="0" w:color="auto"/>
      </w:divBdr>
    </w:div>
    <w:div w:id="20923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600"/>
            </a:pPr>
            <a:r>
              <a:rPr lang="en-US" sz="1600" dirty="0" smtClean="0"/>
              <a:t>Etiology</a:t>
            </a:r>
            <a:endParaRPr lang="en-IN" sz="1600" dirty="0"/>
          </a:p>
        </c:rich>
      </c:tx>
    </c:title>
    <c:view3D>
      <c:rAngAx val="1"/>
    </c:view3D>
    <c:plotArea>
      <c:layout>
        <c:manualLayout>
          <c:layoutTarget val="inner"/>
          <c:xMode val="edge"/>
          <c:yMode val="edge"/>
          <c:x val="3.5438776674654858E-2"/>
          <c:y val="0.13891290449052701"/>
          <c:w val="0.77106571823449688"/>
          <c:h val="0.7428089934636205"/>
        </c:manualLayout>
      </c:layout>
      <c:bar3DChart>
        <c:barDir val="col"/>
        <c:grouping val="clustered"/>
        <c:ser>
          <c:idx val="0"/>
          <c:order val="0"/>
          <c:tx>
            <c:strRef>
              <c:f>Sheet1!$B$1</c:f>
              <c:strCache>
                <c:ptCount val="1"/>
                <c:pt idx="0">
                  <c:v>Sepsis</c:v>
                </c:pt>
              </c:strCache>
            </c:strRef>
          </c:tx>
          <c:spPr>
            <a:solidFill>
              <a:srgbClr val="00B050"/>
            </a:solidFill>
          </c:spPr>
          <c:dLbls>
            <c:spPr>
              <a:solidFill>
                <a:srgbClr val="FFFF00"/>
              </a:solidFill>
              <a:ln>
                <a:noFill/>
              </a:ln>
              <a:effectLst/>
            </c:spPr>
            <c:txPr>
              <a:bodyPr wrap="square" lIns="38100" tIns="19050" rIns="38100" bIns="19050" anchor="ctr">
                <a:spAutoFit/>
              </a:bodyPr>
              <a:lstStyle/>
              <a:p>
                <a:pPr>
                  <a:defRPr sz="1100" b="1"/>
                </a:pPr>
                <a:endParaRPr lang="en-US"/>
              </a:p>
            </c:txPr>
            <c:showVal val="1"/>
            <c:extLst>
              <c:ext xmlns:c15="http://schemas.microsoft.com/office/drawing/2012/chart" uri="{CE6537A1-D6FC-4f65-9D91-7224C49458BB}">
                <c15:layout/>
                <c15:showLeaderLines val="1"/>
              </c:ext>
            </c:extLst>
          </c:dLbls>
          <c:cat>
            <c:strRef>
              <c:f>Sheet1!$A$2:$A$4</c:f>
              <c:strCache>
                <c:ptCount val="3"/>
                <c:pt idx="0">
                  <c:v>ALD</c:v>
                </c:pt>
                <c:pt idx="1">
                  <c:v>NAFLD</c:v>
                </c:pt>
                <c:pt idx="2">
                  <c:v>Viral</c:v>
                </c:pt>
              </c:strCache>
            </c:strRef>
          </c:cat>
          <c:val>
            <c:numRef>
              <c:f>Sheet1!$B$2:$B$4</c:f>
              <c:numCache>
                <c:formatCode>General</c:formatCode>
                <c:ptCount val="3"/>
                <c:pt idx="0">
                  <c:v>4</c:v>
                </c:pt>
                <c:pt idx="1">
                  <c:v>7</c:v>
                </c:pt>
                <c:pt idx="2">
                  <c:v>5</c:v>
                </c:pt>
              </c:numCache>
            </c:numRef>
          </c:val>
        </c:ser>
        <c:ser>
          <c:idx val="1"/>
          <c:order val="1"/>
          <c:tx>
            <c:strRef>
              <c:f>Sheet1!$C$1</c:f>
              <c:strCache>
                <c:ptCount val="1"/>
                <c:pt idx="0">
                  <c:v>No sepsis</c:v>
                </c:pt>
              </c:strCache>
            </c:strRef>
          </c:tx>
          <c:spPr>
            <a:solidFill>
              <a:srgbClr val="FF0000"/>
            </a:solidFill>
          </c:spPr>
          <c:dLbls>
            <c:spPr>
              <a:solidFill>
                <a:srgbClr val="FFFF00"/>
              </a:solidFill>
              <a:ln>
                <a:noFill/>
              </a:ln>
              <a:effectLst/>
            </c:spPr>
            <c:txPr>
              <a:bodyPr wrap="square" lIns="38100" tIns="19050" rIns="38100" bIns="19050" anchor="ctr">
                <a:spAutoFit/>
              </a:bodyPr>
              <a:lstStyle/>
              <a:p>
                <a:pPr>
                  <a:defRPr sz="1100" b="1"/>
                </a:pPr>
                <a:endParaRPr lang="en-US"/>
              </a:p>
            </c:txPr>
            <c:showVal val="1"/>
            <c:extLst>
              <c:ext xmlns:c15="http://schemas.microsoft.com/office/drawing/2012/chart" uri="{CE6537A1-D6FC-4f65-9D91-7224C49458BB}">
                <c15:layout/>
                <c15:showLeaderLines val="1"/>
              </c:ext>
            </c:extLst>
          </c:dLbls>
          <c:cat>
            <c:strRef>
              <c:f>Sheet1!$A$2:$A$4</c:f>
              <c:strCache>
                <c:ptCount val="3"/>
                <c:pt idx="0">
                  <c:v>ALD</c:v>
                </c:pt>
                <c:pt idx="1">
                  <c:v>NAFLD</c:v>
                </c:pt>
                <c:pt idx="2">
                  <c:v>Viral</c:v>
                </c:pt>
              </c:strCache>
            </c:strRef>
          </c:cat>
          <c:val>
            <c:numRef>
              <c:f>Sheet1!$C$2:$C$4</c:f>
              <c:numCache>
                <c:formatCode>General</c:formatCode>
                <c:ptCount val="3"/>
                <c:pt idx="0">
                  <c:v>0</c:v>
                </c:pt>
                <c:pt idx="1">
                  <c:v>2</c:v>
                </c:pt>
                <c:pt idx="2">
                  <c:v>1</c:v>
                </c:pt>
              </c:numCache>
            </c:numRef>
          </c:val>
        </c:ser>
        <c:dLbls>
          <c:showVal val="1"/>
        </c:dLbls>
        <c:shape val="box"/>
        <c:axId val="118038528"/>
        <c:axId val="118041984"/>
        <c:axId val="0"/>
      </c:bar3DChart>
      <c:catAx>
        <c:axId val="118038528"/>
        <c:scaling>
          <c:orientation val="minMax"/>
        </c:scaling>
        <c:axPos val="b"/>
        <c:numFmt formatCode="General" sourceLinked="0"/>
        <c:tickLblPos val="nextTo"/>
        <c:txPr>
          <a:bodyPr/>
          <a:lstStyle/>
          <a:p>
            <a:pPr>
              <a:defRPr sz="1100"/>
            </a:pPr>
            <a:endParaRPr lang="en-US"/>
          </a:p>
        </c:txPr>
        <c:crossAx val="118041984"/>
        <c:crosses val="autoZero"/>
        <c:auto val="1"/>
        <c:lblAlgn val="ctr"/>
        <c:lblOffset val="100"/>
      </c:catAx>
      <c:valAx>
        <c:axId val="118041984"/>
        <c:scaling>
          <c:orientation val="minMax"/>
        </c:scaling>
        <c:axPos val="l"/>
        <c:majorGridlines/>
        <c:numFmt formatCode="General" sourceLinked="1"/>
        <c:tickLblPos val="nextTo"/>
        <c:crossAx val="118038528"/>
        <c:crosses val="autoZero"/>
        <c:crossBetween val="between"/>
      </c:valAx>
    </c:plotArea>
    <c:legend>
      <c:legendPos val="r"/>
      <c:legendEntry>
        <c:idx val="0"/>
        <c:txPr>
          <a:bodyPr/>
          <a:lstStyle/>
          <a:p>
            <a:pPr>
              <a:defRPr sz="1050"/>
            </a:pPr>
            <a:endParaRPr lang="en-US"/>
          </a:p>
        </c:txPr>
      </c:legendEntry>
      <c:legendEntry>
        <c:idx val="1"/>
        <c:txPr>
          <a:bodyPr/>
          <a:lstStyle/>
          <a:p>
            <a:pPr>
              <a:defRPr sz="1050"/>
            </a:pPr>
            <a:endParaRPr lang="en-US"/>
          </a:p>
        </c:txPr>
      </c:legendEntry>
      <c:txPr>
        <a:bodyPr/>
        <a:lstStyle/>
        <a:p>
          <a:pPr>
            <a:defRPr sz="105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200"/>
            </a:pPr>
            <a:r>
              <a:rPr lang="en-US" sz="1200" dirty="0" smtClean="0"/>
              <a:t>Indications</a:t>
            </a:r>
            <a:endParaRPr lang="en-IN" sz="1200" dirty="0"/>
          </a:p>
        </c:rich>
      </c:tx>
      <c:layout>
        <c:manualLayout>
          <c:xMode val="edge"/>
          <c:yMode val="edge"/>
          <c:x val="0.43739995772913842"/>
          <c:y val="1.0555085286335789E-2"/>
        </c:manualLayout>
      </c:layout>
    </c:title>
    <c:view3D>
      <c:rAngAx val="1"/>
    </c:view3D>
    <c:plotArea>
      <c:layout/>
      <c:bar3DChart>
        <c:barDir val="col"/>
        <c:grouping val="clustered"/>
        <c:ser>
          <c:idx val="0"/>
          <c:order val="0"/>
          <c:tx>
            <c:strRef>
              <c:f>Sheet1!$B$1</c:f>
              <c:strCache>
                <c:ptCount val="1"/>
                <c:pt idx="0">
                  <c:v>Sepsis</c:v>
                </c:pt>
              </c:strCache>
            </c:strRef>
          </c:tx>
          <c:spPr>
            <a:solidFill>
              <a:srgbClr val="00B050"/>
            </a:solidFill>
          </c:spPr>
          <c:dLbls>
            <c:spPr>
              <a:solidFill>
                <a:srgbClr val="FFFF00"/>
              </a:solidFill>
              <a:ln>
                <a:noFill/>
              </a:ln>
              <a:effectLst/>
            </c:spPr>
            <c:txPr>
              <a:bodyPr wrap="square" lIns="38100" tIns="19050" rIns="38100" bIns="19050" anchor="ctr">
                <a:spAutoFit/>
              </a:bodyPr>
              <a:lstStyle/>
              <a:p>
                <a:pPr>
                  <a:defRPr sz="1050"/>
                </a:pPr>
                <a:endParaRPr lang="en-US"/>
              </a:p>
            </c:txPr>
            <c:showVal val="1"/>
            <c:extLst>
              <c:ext xmlns:c15="http://schemas.microsoft.com/office/drawing/2012/chart" uri="{CE6537A1-D6FC-4f65-9D91-7224C49458BB}">
                <c15:layout/>
                <c15:showLeaderLines val="1"/>
              </c:ext>
            </c:extLst>
          </c:dLbls>
          <c:cat>
            <c:strRef>
              <c:f>Sheet1!$A$2:$A$7</c:f>
              <c:strCache>
                <c:ptCount val="6"/>
                <c:pt idx="0">
                  <c:v>Refractory Ascitis</c:v>
                </c:pt>
                <c:pt idx="1">
                  <c:v>Hepatic Encephalopathy</c:v>
                </c:pt>
                <c:pt idx="2">
                  <c:v>Renal dysfunction</c:v>
                </c:pt>
                <c:pt idx="3">
                  <c:v>Spontaneous bacterial peritonitis</c:v>
                </c:pt>
                <c:pt idx="4">
                  <c:v>UGI bleed</c:v>
                </c:pt>
                <c:pt idx="5">
                  <c:v>HCC</c:v>
                </c:pt>
              </c:strCache>
            </c:strRef>
          </c:cat>
          <c:val>
            <c:numRef>
              <c:f>Sheet1!$B$2:$B$7</c:f>
              <c:numCache>
                <c:formatCode>General</c:formatCode>
                <c:ptCount val="6"/>
                <c:pt idx="0">
                  <c:v>7</c:v>
                </c:pt>
                <c:pt idx="1">
                  <c:v>8</c:v>
                </c:pt>
                <c:pt idx="2">
                  <c:v>4</c:v>
                </c:pt>
                <c:pt idx="3">
                  <c:v>2</c:v>
                </c:pt>
                <c:pt idx="4">
                  <c:v>3</c:v>
                </c:pt>
                <c:pt idx="5">
                  <c:v>0</c:v>
                </c:pt>
              </c:numCache>
            </c:numRef>
          </c:val>
        </c:ser>
        <c:ser>
          <c:idx val="1"/>
          <c:order val="1"/>
          <c:tx>
            <c:strRef>
              <c:f>Sheet1!$C$1</c:f>
              <c:strCache>
                <c:ptCount val="1"/>
                <c:pt idx="0">
                  <c:v>No Sepsis</c:v>
                </c:pt>
              </c:strCache>
            </c:strRef>
          </c:tx>
          <c:spPr>
            <a:solidFill>
              <a:srgbClr val="FF0000"/>
            </a:solidFill>
          </c:spPr>
          <c:dLbls>
            <c:spPr>
              <a:solidFill>
                <a:srgbClr val="FFFF00"/>
              </a:solidFill>
              <a:ln>
                <a:noFill/>
              </a:ln>
              <a:effectLst/>
            </c:spPr>
            <c:txPr>
              <a:bodyPr wrap="square" lIns="38100" tIns="19050" rIns="38100" bIns="19050" anchor="ctr">
                <a:spAutoFit/>
              </a:bodyPr>
              <a:lstStyle/>
              <a:p>
                <a:pPr>
                  <a:defRPr sz="1050"/>
                </a:pPr>
                <a:endParaRPr lang="en-US"/>
              </a:p>
            </c:txPr>
            <c:showVal val="1"/>
            <c:extLst>
              <c:ext xmlns:c15="http://schemas.microsoft.com/office/drawing/2012/chart" uri="{CE6537A1-D6FC-4f65-9D91-7224C49458BB}">
                <c15:layout/>
                <c15:showLeaderLines val="1"/>
              </c:ext>
            </c:extLst>
          </c:dLbls>
          <c:cat>
            <c:strRef>
              <c:f>Sheet1!$A$2:$A$7</c:f>
              <c:strCache>
                <c:ptCount val="6"/>
                <c:pt idx="0">
                  <c:v>Refractory Ascitis</c:v>
                </c:pt>
                <c:pt idx="1">
                  <c:v>Hepatic Encephalopathy</c:v>
                </c:pt>
                <c:pt idx="2">
                  <c:v>Renal dysfunction</c:v>
                </c:pt>
                <c:pt idx="3">
                  <c:v>Spontaneous bacterial peritonitis</c:v>
                </c:pt>
                <c:pt idx="4">
                  <c:v>UGI bleed</c:v>
                </c:pt>
                <c:pt idx="5">
                  <c:v>HCC</c:v>
                </c:pt>
              </c:strCache>
            </c:strRef>
          </c:cat>
          <c:val>
            <c:numRef>
              <c:f>Sheet1!$C$2:$C$7</c:f>
              <c:numCache>
                <c:formatCode>General</c:formatCode>
                <c:ptCount val="6"/>
                <c:pt idx="0">
                  <c:v>2</c:v>
                </c:pt>
                <c:pt idx="1">
                  <c:v>0</c:v>
                </c:pt>
                <c:pt idx="2">
                  <c:v>0</c:v>
                </c:pt>
                <c:pt idx="3">
                  <c:v>1</c:v>
                </c:pt>
                <c:pt idx="4">
                  <c:v>2</c:v>
                </c:pt>
                <c:pt idx="5">
                  <c:v>1</c:v>
                </c:pt>
              </c:numCache>
            </c:numRef>
          </c:val>
        </c:ser>
        <c:shape val="box"/>
        <c:axId val="123389056"/>
        <c:axId val="123391360"/>
        <c:axId val="0"/>
      </c:bar3DChart>
      <c:catAx>
        <c:axId val="123389056"/>
        <c:scaling>
          <c:orientation val="minMax"/>
        </c:scaling>
        <c:axPos val="b"/>
        <c:numFmt formatCode="General" sourceLinked="0"/>
        <c:tickLblPos val="nextTo"/>
        <c:txPr>
          <a:bodyPr rot="1260000" vert="horz" anchor="ctr" anchorCtr="0"/>
          <a:lstStyle/>
          <a:p>
            <a:pPr>
              <a:defRPr sz="1100"/>
            </a:pPr>
            <a:endParaRPr lang="en-US"/>
          </a:p>
        </c:txPr>
        <c:crossAx val="123391360"/>
        <c:crosses val="autoZero"/>
        <c:auto val="1"/>
        <c:lblAlgn val="ctr"/>
        <c:lblOffset val="100"/>
      </c:catAx>
      <c:valAx>
        <c:axId val="123391360"/>
        <c:scaling>
          <c:orientation val="minMax"/>
        </c:scaling>
        <c:axPos val="l"/>
        <c:majorGridlines/>
        <c:numFmt formatCode="General" sourceLinked="1"/>
        <c:tickLblPos val="nextTo"/>
        <c:txPr>
          <a:bodyPr/>
          <a:lstStyle/>
          <a:p>
            <a:pPr>
              <a:defRPr sz="1100"/>
            </a:pPr>
            <a:endParaRPr lang="en-US"/>
          </a:p>
        </c:txPr>
        <c:crossAx val="123389056"/>
        <c:crosses val="autoZero"/>
        <c:crossBetween val="between"/>
      </c:valAx>
    </c:plotArea>
    <c:legend>
      <c:legendPos val="r"/>
      <c:txPr>
        <a:bodyPr/>
        <a:lstStyle/>
        <a:p>
          <a:pPr>
            <a:defRPr sz="11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all" baseline="0">
                <a:solidFill>
                  <a:schemeClr val="lt1"/>
                </a:solidFill>
                <a:latin typeface="+mn-lt"/>
                <a:ea typeface="+mn-ea"/>
                <a:cs typeface="+mn-cs"/>
              </a:defRPr>
            </a:pPr>
            <a:r>
              <a:rPr lang="en-IN" sz="1200"/>
              <a:t>Post operative Complications</a:t>
            </a:r>
          </a:p>
        </c:rich>
      </c:tx>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Sepsis</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Val val="1"/>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Sheet1!$A$2:$A$7</c:f>
              <c:strCache>
                <c:ptCount val="6"/>
                <c:pt idx="0">
                  <c:v>Post op Bleed</c:v>
                </c:pt>
                <c:pt idx="1">
                  <c:v>Renal dysfunction</c:v>
                </c:pt>
                <c:pt idx="2">
                  <c:v>ACR</c:v>
                </c:pt>
                <c:pt idx="3">
                  <c:v>Neurological </c:v>
                </c:pt>
                <c:pt idx="4">
                  <c:v>Cardiac </c:v>
                </c:pt>
                <c:pt idx="5">
                  <c:v>Biliary </c:v>
                </c:pt>
              </c:strCache>
            </c:strRef>
          </c:cat>
          <c:val>
            <c:numRef>
              <c:f>Sheet1!$B$2:$B$7</c:f>
              <c:numCache>
                <c:formatCode>General</c:formatCode>
                <c:ptCount val="6"/>
                <c:pt idx="0">
                  <c:v>2</c:v>
                </c:pt>
                <c:pt idx="1">
                  <c:v>9</c:v>
                </c:pt>
                <c:pt idx="2">
                  <c:v>5</c:v>
                </c:pt>
                <c:pt idx="3">
                  <c:v>4</c:v>
                </c:pt>
                <c:pt idx="4">
                  <c:v>3</c:v>
                </c:pt>
                <c:pt idx="5">
                  <c:v>2</c:v>
                </c:pt>
              </c:numCache>
            </c:numRef>
          </c:val>
        </c:ser>
        <c:ser>
          <c:idx val="1"/>
          <c:order val="1"/>
          <c:tx>
            <c:strRef>
              <c:f>Sheet1!$C$1</c:f>
              <c:strCache>
                <c:ptCount val="1"/>
                <c:pt idx="0">
                  <c:v>No sepsis</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Val val="1"/>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Sheet1!$A$2:$A$7</c:f>
              <c:strCache>
                <c:ptCount val="6"/>
                <c:pt idx="0">
                  <c:v>Post op Bleed</c:v>
                </c:pt>
                <c:pt idx="1">
                  <c:v>Renal dysfunction</c:v>
                </c:pt>
                <c:pt idx="2">
                  <c:v>ACR</c:v>
                </c:pt>
                <c:pt idx="3">
                  <c:v>Neurological </c:v>
                </c:pt>
                <c:pt idx="4">
                  <c:v>Cardiac </c:v>
                </c:pt>
                <c:pt idx="5">
                  <c:v>Biliary </c:v>
                </c:pt>
              </c:strCache>
            </c:strRef>
          </c:cat>
          <c:val>
            <c:numRef>
              <c:f>Sheet1!$C$2:$C$7</c:f>
              <c:numCache>
                <c:formatCode>General</c:formatCode>
                <c:ptCount val="6"/>
                <c:pt idx="0">
                  <c:v>0</c:v>
                </c:pt>
                <c:pt idx="1">
                  <c:v>1</c:v>
                </c:pt>
                <c:pt idx="2">
                  <c:v>1</c:v>
                </c:pt>
                <c:pt idx="3">
                  <c:v>0</c:v>
                </c:pt>
                <c:pt idx="4">
                  <c:v>2</c:v>
                </c:pt>
                <c:pt idx="5">
                  <c:v>0</c:v>
                </c:pt>
              </c:numCache>
            </c:numRef>
          </c:val>
        </c:ser>
        <c:dLbls>
          <c:showVal val="1"/>
        </c:dLbls>
        <c:gapWidth val="84"/>
        <c:gapDepth val="53"/>
        <c:shape val="box"/>
        <c:axId val="123644544"/>
        <c:axId val="129073536"/>
        <c:axId val="0"/>
      </c:bar3DChart>
      <c:catAx>
        <c:axId val="123644544"/>
        <c:scaling>
          <c:orientation val="minMax"/>
        </c:scaling>
        <c:axPos val="b"/>
        <c:numFmt formatCode="@" sourceLinked="0"/>
        <c:majorTickMark val="none"/>
        <c:tickLblPos val="nextTo"/>
        <c:spPr>
          <a:noFill/>
          <a:ln>
            <a:noFill/>
          </a:ln>
          <a:effectLst/>
        </c:spPr>
        <c:txPr>
          <a:bodyPr rot="-3300000" spcFirstLastPara="1" vertOverflow="ellipsis" wrap="square" anchor="ctr" anchorCtr="1"/>
          <a:lstStyle/>
          <a:p>
            <a:pPr>
              <a:defRPr sz="1197" b="0" i="0" u="none" strike="noStrike" kern="1200" baseline="0">
                <a:solidFill>
                  <a:schemeClr val="lt1">
                    <a:lumMod val="75000"/>
                  </a:schemeClr>
                </a:solidFill>
                <a:latin typeface="+mn-lt"/>
                <a:ea typeface="+mn-ea"/>
                <a:cs typeface="+mn-cs"/>
              </a:defRPr>
            </a:pPr>
            <a:endParaRPr lang="en-US"/>
          </a:p>
        </c:txPr>
        <c:crossAx val="129073536"/>
        <c:crosses val="autoZero"/>
        <c:auto val="1"/>
        <c:lblAlgn val="ctr"/>
        <c:lblOffset val="100"/>
      </c:catAx>
      <c:valAx>
        <c:axId val="129073536"/>
        <c:scaling>
          <c:orientation val="minMax"/>
        </c:scaling>
        <c:delete val="1"/>
        <c:axPos val="l"/>
        <c:numFmt formatCode="General" sourceLinked="1"/>
        <c:tickLblPos val="none"/>
        <c:crossAx val="12364454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en-US"/>
        </a:p>
      </c:txPr>
    </c:legend>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Constantia"/>
      <a:ea typeface=""/>
      <a:cs typeface=""/>
    </a:majorFont>
    <a:minorFont>
      <a:latin typeface="Times New Roma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296</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Rajvilas</dc:creator>
  <cp:lastModifiedBy>Rajvilas</cp:lastModifiedBy>
  <cp:revision>10</cp:revision>
  <dcterms:created xsi:type="dcterms:W3CDTF">2015-10-16T11:12:00Z</dcterms:created>
  <dcterms:modified xsi:type="dcterms:W3CDTF">2015-10-31T16:26:00Z</dcterms:modified>
</cp:coreProperties>
</file>